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header2.xml" ContentType="application/vnd.openxmlformats-officedocument.wordprocessingml.head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tabs>
          <w:tab w:pos="9954" w:val="left" w:leader="none"/>
        </w:tabs>
        <w:spacing w:before="78"/>
        <w:ind w:left="956" w:right="0" w:firstLine="0"/>
        <w:jc w:val="left"/>
        <w:rPr>
          <w:b/>
          <w:sz w:val="26"/>
        </w:rPr>
      </w:pPr>
      <w:bookmarkStart w:name="Postural Orthostatic Tachycardia Syndrom" w:id="1"/>
      <w:bookmarkEnd w:id="1"/>
      <w:r>
        <w:rPr/>
      </w:r>
      <w:r>
        <w:rPr>
          <w:sz w:val="16"/>
        </w:rPr>
        <w:t>Heart, Lung and Circulation (2026) </w:t>
      </w:r>
      <w:r>
        <w:rPr>
          <w:spacing w:val="14"/>
          <w:sz w:val="16"/>
        </w:rPr>
        <w:t> </w:t>
      </w:r>
      <w:r>
        <w:rPr>
          <w:b/>
          <w:sz w:val="16"/>
        </w:rPr>
        <w:t>35</w:t>
      </w:r>
      <w:r>
        <w:rPr>
          <w:sz w:val="16"/>
        </w:rPr>
        <w:t>,</w:t>
      </w:r>
      <w:r>
        <w:rPr>
          <w:spacing w:val="10"/>
          <w:sz w:val="16"/>
        </w:rPr>
        <w:t> </w:t>
      </w:r>
      <w:r>
        <w:rPr>
          <w:sz w:val="16"/>
        </w:rPr>
        <w:t>171–185</w:t>
        <w:tab/>
      </w:r>
      <w:r>
        <w:rPr>
          <w:b/>
          <w:color w:val="E53527"/>
          <w:position w:val="5"/>
          <w:sz w:val="26"/>
        </w:rPr>
        <w:t>REVIEW</w:t>
      </w:r>
    </w:p>
    <w:p>
      <w:pPr>
        <w:spacing w:before="21"/>
        <w:ind w:left="956" w:right="0" w:firstLine="0"/>
        <w:jc w:val="left"/>
        <w:rPr>
          <w:sz w:val="16"/>
        </w:rPr>
      </w:pPr>
      <w:r>
        <w:rPr>
          <w:sz w:val="16"/>
        </w:rPr>
        <w:t>1443-9506/25/$36.00</w:t>
      </w:r>
    </w:p>
    <w:p>
      <w:pPr>
        <w:spacing w:before="20"/>
        <w:ind w:left="956" w:right="0" w:firstLine="0"/>
        <w:jc w:val="left"/>
        <w:rPr>
          <w:sz w:val="16"/>
        </w:rPr>
      </w:pPr>
      <w:hyperlink r:id="rId5">
        <w:r>
          <w:rPr>
            <w:color w:val="127EAD"/>
            <w:sz w:val="16"/>
          </w:rPr>
          <w:t>https://doi.org/10.1016/j.hlc.2025.09.004</w:t>
        </w:r>
      </w:hyperlink>
    </w:p>
    <w:p>
      <w:pPr>
        <w:pStyle w:val="BodyText"/>
        <w:spacing w:before="1"/>
        <w:rPr>
          <w:sz w:val="22"/>
        </w:rPr>
      </w:pPr>
      <w:r>
        <w:rPr/>
        <w:pict>
          <v:line style="position:absolute;mso-position-horizontal-relative:page;mso-position-vertical-relative:paragraph;z-index:0;mso-wrap-distance-left:0;mso-wrap-distance-right:0" from="47.820801pt,15.948883pt" to="550.934082pt,15.948883pt" stroked="true" strokeweight=".497986pt" strokecolor="#e53527">
            <v:stroke dashstyle="solid"/>
            <w10:wrap type="topAndBottom"/>
          </v:line>
        </w:pict>
      </w:r>
    </w:p>
    <w:p>
      <w:pPr>
        <w:pStyle w:val="BodyText"/>
        <w:spacing w:before="1"/>
        <w:rPr>
          <w:sz w:val="14"/>
        </w:rPr>
      </w:pPr>
    </w:p>
    <w:p>
      <w:pPr>
        <w:spacing w:line="242" w:lineRule="auto" w:before="0"/>
        <w:ind w:left="956" w:right="2986" w:firstLine="0"/>
        <w:jc w:val="left"/>
        <w:rPr>
          <w:b/>
          <w:sz w:val="46"/>
        </w:rPr>
      </w:pPr>
      <w:r>
        <w:rPr/>
        <w:pict>
          <v:group style="position:absolute;margin-left:522.595154pt;margin-top:5.694801pt;width:28.35pt;height:28.35pt;mso-position-horizontal-relative:page;mso-position-vertical-relative:paragraph;z-index:1144" coordorigin="10452,114" coordsize="567,567">
            <v:shape style="position:absolute;left:10454;top:116;width:562;height:562" type="#_x0000_t75" stroked="false">
              <v:imagedata r:id="rId6" o:title=""/>
            </v:shape>
            <v:shape style="position:absolute;left:10452;top:114;width:567;height:567" coordorigin="10452,114" coordsize="567,567" path="m10467,114l10459,114,10452,121,10452,674,10459,681,11012,681,11017,676,10461,676,10457,672,10457,123,10461,119,10467,119,10467,114xm11012,114l10467,114,10467,119,11010,119,11014,123,11014,672,11010,676,11017,676,11019,674,11019,121,11012,114xe" filled="true" fillcolor="#9f9e9d" stroked="false">
              <v:path arrowok="t"/>
              <v:fill type="solid"/>
            </v:shape>
            <v:shape style="position:absolute;left:10540;top:473;width:390;height:162" type="#_x0000_t75" stroked="false">
              <v:imagedata r:id="rId7" o:title=""/>
            </v:shape>
            <v:shape style="position:absolute;left:10588;top:144;width:294;height:294" type="#_x0000_t75" stroked="false">
              <v:imagedata r:id="rId8" o:title=""/>
            </v:shape>
            <w10:wrap type="none"/>
          </v:group>
        </w:pict>
      </w:r>
      <w:r>
        <w:rPr>
          <w:b/>
          <w:color w:val="0093D6"/>
          <w:sz w:val="46"/>
        </w:rPr>
        <w:t>Postural Orthostatic Tachycardia Syndrome: A State-of-the-Art</w:t>
      </w:r>
      <w:r>
        <w:rPr>
          <w:b/>
          <w:color w:val="0093D6"/>
          <w:spacing w:val="77"/>
          <w:sz w:val="46"/>
        </w:rPr>
        <w:t> </w:t>
      </w:r>
      <w:r>
        <w:rPr>
          <w:b/>
          <w:color w:val="0093D6"/>
          <w:sz w:val="46"/>
        </w:rPr>
        <w:t>Review</w:t>
      </w:r>
    </w:p>
    <w:p>
      <w:pPr>
        <w:spacing w:line="318" w:lineRule="exact" w:before="236"/>
        <w:ind w:left="957" w:right="2986" w:hanging="1"/>
        <w:jc w:val="left"/>
        <w:rPr>
          <w:b/>
          <w:sz w:val="26"/>
        </w:rPr>
      </w:pPr>
      <w:r>
        <w:rPr>
          <w:b/>
          <w:sz w:val="26"/>
        </w:rPr>
        <w:t>Dennis H. Lau, MBBS, PhD </w:t>
      </w:r>
      <w:r>
        <w:rPr>
          <w:b/>
          <w:color w:val="127EAD"/>
          <w:position w:val="12"/>
          <w:sz w:val="17"/>
        </w:rPr>
        <w:t>a</w:t>
      </w:r>
      <w:r>
        <w:rPr>
          <w:b/>
          <w:position w:val="12"/>
          <w:sz w:val="17"/>
        </w:rPr>
        <w:t>,</w:t>
      </w:r>
      <w:r>
        <w:rPr>
          <w:b/>
          <w:color w:val="127EAD"/>
          <w:position w:val="12"/>
          <w:sz w:val="17"/>
        </w:rPr>
        <w:t>b</w:t>
      </w:r>
      <w:r>
        <w:rPr>
          <w:b/>
          <w:position w:val="12"/>
          <w:sz w:val="17"/>
        </w:rPr>
        <w:t>,</w:t>
      </w:r>
      <w:r>
        <w:rPr>
          <w:b/>
          <w:color w:val="127EAD"/>
          <w:position w:val="12"/>
          <w:sz w:val="17"/>
        </w:rPr>
        <w:t>c</w:t>
      </w:r>
      <w:r>
        <w:rPr>
          <w:b/>
          <w:position w:val="12"/>
          <w:sz w:val="17"/>
        </w:rPr>
        <w:t>,</w:t>
      </w:r>
      <w:hyperlink w:history="true" w:anchor="_bookmark15">
        <w:r>
          <w:rPr>
            <w:b/>
            <w:color w:val="127EAD"/>
            <w:sz w:val="26"/>
          </w:rPr>
          <w:t>*</w:t>
        </w:r>
      </w:hyperlink>
      <w:r>
        <w:rPr>
          <w:b/>
          <w:sz w:val="26"/>
        </w:rPr>
        <w:t>, Artur Fedorowski, MD, PhD </w:t>
      </w:r>
      <w:r>
        <w:rPr>
          <w:b/>
          <w:color w:val="127EAD"/>
          <w:position w:val="12"/>
          <w:sz w:val="17"/>
        </w:rPr>
        <w:t>d</w:t>
      </w:r>
      <w:r>
        <w:rPr>
          <w:b/>
          <w:position w:val="12"/>
          <w:sz w:val="17"/>
        </w:rPr>
        <w:t>,</w:t>
      </w:r>
      <w:r>
        <w:rPr>
          <w:b/>
          <w:color w:val="127EAD"/>
          <w:position w:val="12"/>
          <w:sz w:val="17"/>
        </w:rPr>
        <w:t>e</w:t>
      </w:r>
      <w:r>
        <w:rPr>
          <w:b/>
          <w:sz w:val="26"/>
        </w:rPr>
        <w:t>, Satish R. Raj, MD, MSCI </w:t>
      </w:r>
      <w:r>
        <w:rPr>
          <w:b/>
          <w:color w:val="127EAD"/>
          <w:position w:val="12"/>
          <w:sz w:val="17"/>
        </w:rPr>
        <w:t>f</w:t>
      </w:r>
      <w:r>
        <w:rPr>
          <w:b/>
          <w:position w:val="12"/>
          <w:sz w:val="17"/>
        </w:rPr>
        <w:t>,</w:t>
      </w:r>
      <w:r>
        <w:rPr>
          <w:b/>
          <w:color w:val="127EAD"/>
          <w:position w:val="12"/>
          <w:sz w:val="17"/>
        </w:rPr>
        <w:t>g</w:t>
      </w:r>
      <w:r>
        <w:rPr>
          <w:b/>
          <w:sz w:val="26"/>
        </w:rPr>
        <w:t>, Caelum Schild, </w:t>
      </w:r>
      <w:r>
        <w:rPr>
          <w:b/>
          <w:spacing w:val="50"/>
          <w:sz w:val="26"/>
        </w:rPr>
        <w:t> </w:t>
      </w:r>
      <w:r>
        <w:rPr>
          <w:b/>
          <w:sz w:val="26"/>
        </w:rPr>
        <w:t>BAppSc </w:t>
      </w:r>
      <w:r>
        <w:rPr>
          <w:b/>
          <w:color w:val="127EAD"/>
          <w:position w:val="12"/>
          <w:sz w:val="17"/>
        </w:rPr>
        <w:t>a</w:t>
      </w:r>
      <w:r>
        <w:rPr>
          <w:b/>
          <w:sz w:val="26"/>
        </w:rPr>
        <w:t>,</w:t>
      </w:r>
    </w:p>
    <w:p>
      <w:pPr>
        <w:spacing w:line="314" w:lineRule="exact" w:before="0"/>
        <w:ind w:left="957" w:right="0" w:firstLine="0"/>
        <w:jc w:val="left"/>
        <w:rPr>
          <w:b/>
          <w:sz w:val="26"/>
        </w:rPr>
      </w:pPr>
      <w:r>
        <w:rPr>
          <w:b/>
          <w:sz w:val="26"/>
        </w:rPr>
        <w:t>Laura A. Pace, MD, PhD </w:t>
      </w:r>
      <w:r>
        <w:rPr>
          <w:b/>
          <w:color w:val="127EAD"/>
          <w:position w:val="11"/>
          <w:sz w:val="17"/>
        </w:rPr>
        <w:t>h</w:t>
      </w:r>
      <w:r>
        <w:rPr>
          <w:b/>
          <w:position w:val="11"/>
          <w:sz w:val="17"/>
        </w:rPr>
        <w:t>,</w:t>
      </w:r>
      <w:r>
        <w:rPr>
          <w:b/>
          <w:color w:val="127EAD"/>
          <w:position w:val="11"/>
          <w:sz w:val="17"/>
        </w:rPr>
        <w:t>i</w:t>
      </w:r>
      <w:r>
        <w:rPr>
          <w:b/>
          <w:sz w:val="26"/>
        </w:rPr>
        <w:t>, Svetlana Blitshteyn,  MD </w:t>
      </w:r>
      <w:r>
        <w:rPr>
          <w:b/>
          <w:color w:val="127EAD"/>
          <w:position w:val="11"/>
          <w:sz w:val="17"/>
        </w:rPr>
        <w:t>j</w:t>
      </w:r>
      <w:r>
        <w:rPr>
          <w:b/>
          <w:sz w:val="26"/>
        </w:rPr>
        <w:t>,</w:t>
      </w:r>
    </w:p>
    <w:p>
      <w:pPr>
        <w:spacing w:line="318" w:lineRule="exact" w:before="5"/>
        <w:ind w:left="956" w:right="2646" w:firstLine="0"/>
        <w:jc w:val="left"/>
        <w:rPr>
          <w:b/>
          <w:sz w:val="17"/>
        </w:rPr>
      </w:pPr>
      <w:r>
        <w:rPr>
          <w:b/>
          <w:sz w:val="26"/>
        </w:rPr>
        <w:t>Vidya Raj, MB ChB </w:t>
      </w:r>
      <w:r>
        <w:rPr>
          <w:b/>
          <w:color w:val="127EAD"/>
          <w:position w:val="11"/>
          <w:sz w:val="17"/>
        </w:rPr>
        <w:t>k</w:t>
      </w:r>
      <w:r>
        <w:rPr>
          <w:b/>
          <w:sz w:val="26"/>
        </w:rPr>
        <w:t>, Jeffrey R. Boris, MD </w:t>
      </w:r>
      <w:r>
        <w:rPr>
          <w:b/>
          <w:color w:val="127EAD"/>
          <w:position w:val="11"/>
          <w:sz w:val="17"/>
        </w:rPr>
        <w:t>l</w:t>
      </w:r>
      <w:r>
        <w:rPr>
          <w:b/>
          <w:sz w:val="26"/>
        </w:rPr>
        <w:t>, Lesley Kavi, MBChB </w:t>
      </w:r>
      <w:r>
        <w:rPr>
          <w:b/>
          <w:color w:val="127EAD"/>
          <w:position w:val="11"/>
          <w:sz w:val="17"/>
        </w:rPr>
        <w:t>m</w:t>
      </w:r>
      <w:r>
        <w:rPr>
          <w:b/>
          <w:sz w:val="26"/>
        </w:rPr>
        <w:t>, Marie-Claire Seeley, RN, PhD </w:t>
      </w:r>
      <w:r>
        <w:rPr>
          <w:b/>
          <w:color w:val="127EAD"/>
          <w:position w:val="11"/>
          <w:sz w:val="17"/>
        </w:rPr>
        <w:t>a</w:t>
      </w:r>
      <w:r>
        <w:rPr>
          <w:b/>
          <w:position w:val="11"/>
          <w:sz w:val="17"/>
        </w:rPr>
        <w:t>,</w:t>
      </w:r>
      <w:r>
        <w:rPr>
          <w:b/>
          <w:color w:val="127EAD"/>
          <w:position w:val="11"/>
          <w:sz w:val="17"/>
        </w:rPr>
        <w:t>b</w:t>
      </w:r>
      <w:r>
        <w:rPr>
          <w:b/>
          <w:position w:val="11"/>
          <w:sz w:val="17"/>
        </w:rPr>
        <w:t>,</w:t>
      </w:r>
      <w:r>
        <w:rPr>
          <w:b/>
          <w:color w:val="127EAD"/>
          <w:position w:val="11"/>
          <w:sz w:val="17"/>
        </w:rPr>
        <w:t>n</w:t>
      </w:r>
      <w:r>
        <w:rPr>
          <w:b/>
          <w:position w:val="11"/>
          <w:sz w:val="17"/>
        </w:rPr>
        <w:t>,</w:t>
      </w:r>
      <w:r>
        <w:rPr>
          <w:b/>
          <w:color w:val="127EAD"/>
          <w:position w:val="11"/>
          <w:sz w:val="17"/>
        </w:rPr>
        <w:t>o</w:t>
      </w:r>
      <w:r>
        <w:rPr>
          <w:b/>
          <w:sz w:val="26"/>
        </w:rPr>
        <w:t>, Celine Gallagher, RN,    PhD </w:t>
      </w:r>
      <w:r>
        <w:rPr>
          <w:b/>
          <w:color w:val="127EAD"/>
          <w:position w:val="11"/>
          <w:sz w:val="17"/>
        </w:rPr>
        <w:t>a</w:t>
      </w:r>
      <w:r>
        <w:rPr>
          <w:b/>
          <w:position w:val="11"/>
          <w:sz w:val="17"/>
        </w:rPr>
        <w:t>,</w:t>
      </w:r>
      <w:r>
        <w:rPr>
          <w:b/>
          <w:color w:val="127EAD"/>
          <w:position w:val="11"/>
          <w:sz w:val="17"/>
        </w:rPr>
        <w:t>b</w:t>
      </w:r>
      <w:r>
        <w:rPr>
          <w:b/>
          <w:position w:val="11"/>
          <w:sz w:val="17"/>
        </w:rPr>
        <w:t>,</w:t>
      </w:r>
      <w:r>
        <w:rPr>
          <w:b/>
          <w:color w:val="127EAD"/>
          <w:position w:val="11"/>
          <w:sz w:val="17"/>
        </w:rPr>
        <w:t>n</w:t>
      </w:r>
      <w:r>
        <w:rPr>
          <w:b/>
          <w:position w:val="11"/>
          <w:sz w:val="17"/>
        </w:rPr>
        <w:t>,</w:t>
      </w:r>
      <w:r>
        <w:rPr>
          <w:b/>
          <w:color w:val="127EAD"/>
          <w:position w:val="11"/>
          <w:sz w:val="17"/>
        </w:rPr>
        <w:t>o</w:t>
      </w:r>
    </w:p>
    <w:p>
      <w:pPr>
        <w:spacing w:line="183" w:lineRule="exact" w:before="189"/>
        <w:ind w:left="956" w:right="0" w:firstLine="0"/>
        <w:jc w:val="left"/>
        <w:rPr>
          <w:sz w:val="14"/>
        </w:rPr>
      </w:pPr>
      <w:bookmarkStart w:name="_bookmark0" w:id="2"/>
      <w:bookmarkEnd w:id="2"/>
      <w:r>
        <w:rPr/>
      </w:r>
      <w:r>
        <w:rPr>
          <w:position w:val="6"/>
          <w:sz w:val="9"/>
        </w:rPr>
        <w:t>a</w:t>
      </w:r>
      <w:bookmarkStart w:name="_bookmark1" w:id="3"/>
      <w:bookmarkEnd w:id="3"/>
      <w:r>
        <w:rPr>
          <w:position w:val="6"/>
          <w:sz w:val="9"/>
        </w:rPr>
      </w:r>
      <w:r>
        <w:rPr>
          <w:sz w:val="14"/>
        </w:rPr>
        <w:t>Australian Dysautonomia and Arrhythmia Research Collaborative, The University of Adelaide, Adelaide, SA,    Australia</w:t>
      </w:r>
    </w:p>
    <w:p>
      <w:pPr>
        <w:spacing w:line="179" w:lineRule="exact" w:before="0"/>
        <w:ind w:left="956" w:right="0" w:firstLine="0"/>
        <w:jc w:val="left"/>
        <w:rPr>
          <w:sz w:val="14"/>
        </w:rPr>
      </w:pPr>
      <w:r>
        <w:rPr>
          <w:position w:val="6"/>
          <w:sz w:val="9"/>
        </w:rPr>
        <w:t>b</w:t>
      </w:r>
      <w:bookmarkStart w:name="_bookmark2" w:id="4"/>
      <w:bookmarkEnd w:id="4"/>
      <w:r>
        <w:rPr>
          <w:position w:val="6"/>
          <w:sz w:val="9"/>
        </w:rPr>
      </w:r>
      <w:r>
        <w:rPr>
          <w:sz w:val="14"/>
        </w:rPr>
        <w:t>South Australian Health and Medical Research Institute, Adelaide, SA,   Australia</w:t>
      </w:r>
    </w:p>
    <w:p>
      <w:pPr>
        <w:spacing w:line="179" w:lineRule="exact" w:before="0"/>
        <w:ind w:left="956" w:right="0" w:firstLine="0"/>
        <w:jc w:val="left"/>
        <w:rPr>
          <w:sz w:val="14"/>
        </w:rPr>
      </w:pPr>
      <w:r>
        <w:rPr>
          <w:position w:val="6"/>
          <w:sz w:val="9"/>
        </w:rPr>
        <w:t>c</w:t>
      </w:r>
      <w:bookmarkStart w:name="_bookmark3" w:id="5"/>
      <w:bookmarkEnd w:id="5"/>
      <w:r>
        <w:rPr>
          <w:position w:val="6"/>
          <w:sz w:val="9"/>
        </w:rPr>
      </w:r>
      <w:r>
        <w:rPr>
          <w:sz w:val="14"/>
        </w:rPr>
        <w:t>Department of Cardiology, Royal Adelaide Hospital, Adelaide, SA,   Australia</w:t>
      </w:r>
    </w:p>
    <w:p>
      <w:pPr>
        <w:spacing w:line="179" w:lineRule="exact" w:before="0"/>
        <w:ind w:left="956" w:right="0" w:firstLine="0"/>
        <w:jc w:val="left"/>
        <w:rPr>
          <w:sz w:val="14"/>
        </w:rPr>
      </w:pPr>
      <w:r>
        <w:rPr>
          <w:position w:val="6"/>
          <w:sz w:val="9"/>
        </w:rPr>
        <w:t>d</w:t>
      </w:r>
      <w:bookmarkStart w:name="_bookmark4" w:id="6"/>
      <w:bookmarkEnd w:id="6"/>
      <w:r>
        <w:rPr>
          <w:position w:val="6"/>
          <w:sz w:val="9"/>
        </w:rPr>
      </w:r>
      <w:r>
        <w:rPr>
          <w:sz w:val="14"/>
        </w:rPr>
        <w:t>Department of Cardiology, Karolinska University Hospital, and Department of Medicine, Karolinska Institute, Stockholm, Sweden</w:t>
      </w:r>
    </w:p>
    <w:p>
      <w:pPr>
        <w:spacing w:line="180" w:lineRule="exact" w:before="0"/>
        <w:ind w:left="956" w:right="0" w:firstLine="0"/>
        <w:jc w:val="left"/>
        <w:rPr>
          <w:sz w:val="14"/>
        </w:rPr>
      </w:pPr>
      <w:r>
        <w:rPr>
          <w:position w:val="6"/>
          <w:sz w:val="9"/>
        </w:rPr>
        <w:t>e</w:t>
      </w:r>
      <w:bookmarkStart w:name="_bookmark5" w:id="7"/>
      <w:bookmarkEnd w:id="7"/>
      <w:r>
        <w:rPr>
          <w:position w:val="6"/>
          <w:sz w:val="9"/>
        </w:rPr>
      </w:r>
      <w:r>
        <w:rPr>
          <w:sz w:val="14"/>
        </w:rPr>
        <w:t>Department of Clinical Sciences, Lund University, Malmö,  Sweden</w:t>
      </w:r>
    </w:p>
    <w:p>
      <w:pPr>
        <w:spacing w:line="180" w:lineRule="exact" w:before="0"/>
        <w:ind w:left="956" w:right="1839" w:firstLine="0"/>
        <w:jc w:val="left"/>
        <w:rPr>
          <w:sz w:val="14"/>
        </w:rPr>
      </w:pPr>
      <w:r>
        <w:rPr>
          <w:position w:val="6"/>
          <w:sz w:val="9"/>
        </w:rPr>
        <w:t>f</w:t>
      </w:r>
      <w:bookmarkStart w:name="_bookmark6" w:id="8"/>
      <w:bookmarkEnd w:id="8"/>
      <w:r>
        <w:rPr>
          <w:position w:val="6"/>
          <w:sz w:val="9"/>
        </w:rPr>
      </w:r>
      <w:r>
        <w:rPr>
          <w:sz w:val="14"/>
        </w:rPr>
        <w:t>Department of Cardiac Sciences, Libin Cardiovascular Institute, Cumming School of Medicine, University of Calgary, Calgary, AB, Canada </w:t>
      </w:r>
      <w:r>
        <w:rPr>
          <w:position w:val="6"/>
          <w:sz w:val="9"/>
        </w:rPr>
        <w:t>g</w:t>
      </w:r>
      <w:r>
        <w:rPr>
          <w:sz w:val="14"/>
        </w:rPr>
        <w:t>Autonomic Dysfunction Center, Division of Clinical Pharmacology, Department of Medicine, Vanderbilt University Medical Center, Nashville, </w:t>
      </w:r>
      <w:bookmarkStart w:name="_bookmark7" w:id="9"/>
      <w:bookmarkEnd w:id="9"/>
      <w:r>
        <w:rPr>
          <w:sz w:val="14"/>
        </w:rPr>
      </w:r>
      <w:r>
        <w:rPr>
          <w:sz w:val="14"/>
        </w:rPr>
        <w:t>TN, USA</w:t>
      </w:r>
    </w:p>
    <w:p>
      <w:pPr>
        <w:spacing w:line="179" w:lineRule="exact" w:before="0"/>
        <w:ind w:left="956" w:right="0" w:firstLine="0"/>
        <w:jc w:val="left"/>
        <w:rPr>
          <w:sz w:val="14"/>
        </w:rPr>
      </w:pPr>
      <w:r>
        <w:rPr>
          <w:position w:val="6"/>
          <w:sz w:val="9"/>
        </w:rPr>
        <w:t>h</w:t>
      </w:r>
      <w:bookmarkStart w:name="_bookmark8" w:id="10"/>
      <w:bookmarkEnd w:id="10"/>
      <w:r>
        <w:rPr>
          <w:position w:val="6"/>
          <w:sz w:val="9"/>
        </w:rPr>
      </w:r>
      <w:r>
        <w:rPr>
          <w:sz w:val="14"/>
        </w:rPr>
        <w:t>Department of Medicine, Gastroenterology &amp; Hepatology, Stanford University, Standford, CA,   USA</w:t>
      </w:r>
    </w:p>
    <w:p>
      <w:pPr>
        <w:spacing w:line="179" w:lineRule="exact" w:before="0"/>
        <w:ind w:left="956" w:right="0" w:firstLine="0"/>
        <w:jc w:val="left"/>
        <w:rPr>
          <w:sz w:val="14"/>
        </w:rPr>
      </w:pPr>
      <w:r>
        <w:rPr>
          <w:position w:val="6"/>
          <w:sz w:val="9"/>
        </w:rPr>
        <w:t>i</w:t>
      </w:r>
      <w:bookmarkStart w:name="_bookmark9" w:id="11"/>
      <w:bookmarkEnd w:id="11"/>
      <w:r>
        <w:rPr>
          <w:position w:val="6"/>
          <w:sz w:val="9"/>
        </w:rPr>
      </w:r>
      <w:r>
        <w:rPr>
          <w:sz w:val="14"/>
        </w:rPr>
        <w:t>Meliora Bio, Oakland, CA,  USA</w:t>
      </w:r>
    </w:p>
    <w:p>
      <w:pPr>
        <w:spacing w:line="180" w:lineRule="exact" w:before="0"/>
        <w:ind w:left="956" w:right="0" w:firstLine="0"/>
        <w:jc w:val="left"/>
        <w:rPr>
          <w:sz w:val="14"/>
        </w:rPr>
      </w:pPr>
      <w:r>
        <w:rPr>
          <w:position w:val="6"/>
          <w:sz w:val="9"/>
        </w:rPr>
        <w:t>j</w:t>
      </w:r>
      <w:bookmarkStart w:name="_bookmark10" w:id="12"/>
      <w:bookmarkEnd w:id="12"/>
      <w:r>
        <w:rPr>
          <w:position w:val="6"/>
          <w:sz w:val="9"/>
        </w:rPr>
      </w:r>
      <w:r>
        <w:rPr>
          <w:sz w:val="14"/>
        </w:rPr>
        <w:t>Department of Neurology, University at Buffalo Jacobs School of Medicine and Biomedical Sciences, Buffalo, NY, USA</w:t>
      </w:r>
    </w:p>
    <w:p>
      <w:pPr>
        <w:spacing w:line="180" w:lineRule="exact" w:before="0"/>
        <w:ind w:left="956" w:right="0" w:firstLine="0"/>
        <w:jc w:val="left"/>
        <w:rPr>
          <w:sz w:val="14"/>
        </w:rPr>
      </w:pPr>
      <w:r>
        <w:rPr>
          <w:position w:val="6"/>
          <w:sz w:val="9"/>
        </w:rPr>
        <w:t>k</w:t>
      </w:r>
      <w:bookmarkStart w:name="_bookmark11" w:id="13"/>
      <w:bookmarkEnd w:id="13"/>
      <w:r>
        <w:rPr>
          <w:position w:val="6"/>
          <w:sz w:val="9"/>
        </w:rPr>
      </w:r>
      <w:r>
        <w:rPr>
          <w:sz w:val="14"/>
        </w:rPr>
        <w:t>Department of Psychiatry, Cumming School of Medicine, University of Calgary, Calgary, AB,    Canada</w:t>
      </w:r>
    </w:p>
    <w:p>
      <w:pPr>
        <w:spacing w:line="179" w:lineRule="exact" w:before="0"/>
        <w:ind w:left="956" w:right="0" w:firstLine="0"/>
        <w:jc w:val="left"/>
        <w:rPr>
          <w:sz w:val="14"/>
        </w:rPr>
      </w:pPr>
      <w:r>
        <w:rPr>
          <w:position w:val="6"/>
          <w:sz w:val="9"/>
        </w:rPr>
        <w:t>l</w:t>
      </w:r>
      <w:bookmarkStart w:name="_bookmark12" w:id="14"/>
      <w:bookmarkEnd w:id="14"/>
      <w:r>
        <w:rPr>
          <w:position w:val="6"/>
          <w:sz w:val="9"/>
        </w:rPr>
      </w:r>
      <w:r>
        <w:rPr>
          <w:sz w:val="14"/>
        </w:rPr>
        <w:t>Jeffrey R Boris, MD LLC, Moylan, PA,  USA</w:t>
      </w:r>
    </w:p>
    <w:p>
      <w:pPr>
        <w:spacing w:line="179" w:lineRule="exact" w:before="0"/>
        <w:ind w:left="956" w:right="0" w:firstLine="0"/>
        <w:jc w:val="left"/>
        <w:rPr>
          <w:sz w:val="14"/>
        </w:rPr>
      </w:pPr>
      <w:r>
        <w:rPr>
          <w:position w:val="6"/>
          <w:sz w:val="9"/>
        </w:rPr>
        <w:t>m</w:t>
      </w:r>
      <w:bookmarkStart w:name="_bookmark13" w:id="15"/>
      <w:bookmarkEnd w:id="15"/>
      <w:r>
        <w:rPr>
          <w:position w:val="6"/>
          <w:sz w:val="9"/>
        </w:rPr>
      </w:r>
      <w:r>
        <w:rPr>
          <w:sz w:val="14"/>
        </w:rPr>
        <w:t>PoTS UK, London,  UK</w:t>
      </w:r>
    </w:p>
    <w:p>
      <w:pPr>
        <w:spacing w:line="179" w:lineRule="exact" w:before="0"/>
        <w:ind w:left="956" w:right="0" w:firstLine="0"/>
        <w:jc w:val="left"/>
        <w:rPr>
          <w:sz w:val="14"/>
        </w:rPr>
      </w:pPr>
      <w:r>
        <w:rPr>
          <w:position w:val="6"/>
          <w:sz w:val="9"/>
        </w:rPr>
        <w:t>n</w:t>
      </w:r>
      <w:bookmarkStart w:name="_bookmark14" w:id="16"/>
      <w:bookmarkEnd w:id="16"/>
      <w:r>
        <w:rPr>
          <w:position w:val="6"/>
          <w:sz w:val="9"/>
        </w:rPr>
      </w:r>
      <w:r>
        <w:rPr>
          <w:sz w:val="14"/>
        </w:rPr>
        <w:t>Rosemary Bryant AO Research Centre, University of South Australia, Adelaide, SA,   Australia</w:t>
      </w:r>
    </w:p>
    <w:p>
      <w:pPr>
        <w:spacing w:line="183" w:lineRule="exact" w:before="0"/>
        <w:ind w:left="956" w:right="0" w:firstLine="0"/>
        <w:jc w:val="left"/>
        <w:rPr>
          <w:sz w:val="14"/>
        </w:rPr>
      </w:pPr>
      <w:r>
        <w:rPr>
          <w:position w:val="6"/>
          <w:sz w:val="9"/>
        </w:rPr>
        <w:t>o</w:t>
      </w:r>
      <w:r>
        <w:rPr>
          <w:sz w:val="14"/>
        </w:rPr>
        <w:t>The Australian POTS Foundation, Adelaide, SA,  Australia</w:t>
      </w:r>
    </w:p>
    <w:p>
      <w:pPr>
        <w:pStyle w:val="BodyText"/>
        <w:spacing w:before="3"/>
        <w:rPr>
          <w:sz w:val="13"/>
        </w:rPr>
      </w:pPr>
    </w:p>
    <w:p>
      <w:pPr>
        <w:spacing w:before="1"/>
        <w:ind w:left="956" w:right="0" w:firstLine="0"/>
        <w:jc w:val="left"/>
        <w:rPr>
          <w:i/>
          <w:sz w:val="14"/>
        </w:rPr>
      </w:pPr>
      <w:r>
        <w:rPr/>
        <w:pict>
          <v:group style="position:absolute;margin-left:0pt;margin-top:13.548871pt;width:595.3pt;height:214.7pt;mso-position-horizontal-relative:page;mso-position-vertical-relative:paragraph;z-index:-41680" coordorigin="0,271" coordsize="11906,4294">
            <v:shape style="position:absolute;left:0;top:271;width:11906;height:4294" coordorigin="0,271" coordsize="11906,4294" path="m11906,271l11019,271,0,271,0,4565,11019,4565,11906,4565,11906,271e" filled="true" fillcolor="#f5f4ea" stroked="false">
              <v:path arrowok="t"/>
              <v:fill type="solid"/>
            </v:shape>
            <v:shape style="position:absolute;left:957;top:4081;width:10061;height:20" type="#_x0000_t75" stroked="false">
              <v:imagedata r:id="rId9" o:title=""/>
            </v:shape>
            <v:rect style="position:absolute;left:2869;top:4326;width:8149;height:120" filled="true" fillcolor="#f5f4ea" stroked="false">
              <v:fill type="solid"/>
            </v:rect>
            <v:shapetype id="_x0000_t202" o:spt="202" coordsize="21600,21600" path="m,l,21600r21600,l21600,xe">
              <v:stroke joinstyle="miter"/>
              <v:path gradientshapeok="t" o:connecttype="rect"/>
            </v:shapetype>
            <v:shape style="position:absolute;left:957;top:4158;width:857;height:214" type="#_x0000_t202" filled="false" stroked="false">
              <v:textbox inset="0,0,0,0">
                <w:txbxContent>
                  <w:p>
                    <w:pPr>
                      <w:spacing w:line="213" w:lineRule="exact" w:before="0"/>
                      <w:ind w:left="0" w:right="0" w:firstLine="0"/>
                      <w:jc w:val="left"/>
                      <w:rPr>
                        <w:b/>
                        <w:sz w:val="18"/>
                      </w:rPr>
                    </w:pPr>
                    <w:r>
                      <w:rPr>
                        <w:b/>
                        <w:color w:val="0093D6"/>
                        <w:sz w:val="18"/>
                      </w:rPr>
                      <w:t>Keywords</w:t>
                    </w:r>
                  </w:p>
                </w:txbxContent>
              </v:textbox>
              <w10:wrap type="none"/>
            </v:shape>
            <v:shape style="position:absolute;left:2870;top:468;width:8170;height:4011" type="#_x0000_t202" filled="false" stroked="false">
              <v:textbox inset="0,0,0,0">
                <w:txbxContent>
                  <w:p>
                    <w:pPr>
                      <w:spacing w:line="256" w:lineRule="auto" w:before="0"/>
                      <w:ind w:left="0" w:right="18" w:firstLine="0"/>
                      <w:jc w:val="both"/>
                      <w:rPr>
                        <w:sz w:val="18"/>
                      </w:rPr>
                    </w:pPr>
                    <w:r>
                      <w:rPr>
                        <w:sz w:val="18"/>
                      </w:rPr>
                      <w:t>Postural orthostatic tachycardia syndrome (POTS) is a complex disorder mainly of orthostatic intol- erance, often accompanied by a spectrum of symptoms related to autonomic nervous system dysfunction. Although the diagnostic criteria require an orthostatic challenge test, the associated symptom burden can be broad and is often missed by treating healthcare professionals, resulting in significant diagnostic delay. Treatment of this highly heterogenous condition is nuanced and consists of non-pharmacologic and pharmacologic approaches. Availability of POTS care is limited, with a dearth of medical specialists or general practitioners specialising in autonomic medicine. The complexity of care for those with POTS necessitates a multidisciplinary approach due to the need for extended appointment times and frequent follow-ups to monitor therapeutic response and progress. This should include a primary team consisting of a general practitioner and trained autonomic physicians with specialist nurses, allied health professionals, and any other specialists required to manage the affected systems. This state-of-the-art review aims to cover the key aspects of diagnosing and managing POTS, including special neurological, gastroenterological, psychological, and</w:t>
                    </w:r>
                    <w:r>
                      <w:rPr>
                        <w:spacing w:val="-28"/>
                        <w:sz w:val="18"/>
                      </w:rPr>
                      <w:t> </w:t>
                    </w:r>
                    <w:r>
                      <w:rPr>
                        <w:sz w:val="18"/>
                      </w:rPr>
                      <w:t>paediatric considerations. There is an urgent need to provide services that meet the needs of the growing POTS population.</w:t>
                    </w:r>
                  </w:p>
                  <w:p>
                    <w:pPr>
                      <w:spacing w:before="89"/>
                      <w:ind w:left="0" w:right="0" w:firstLine="0"/>
                      <w:jc w:val="both"/>
                      <w:rPr>
                        <w:sz w:val="18"/>
                      </w:rPr>
                    </w:pPr>
                    <w:r>
                      <w:rPr>
                        <w:w w:val="105"/>
                        <w:sz w:val="18"/>
                      </w:rPr>
                      <w:t>Postural</w:t>
                    </w:r>
                    <w:r>
                      <w:rPr>
                        <w:spacing w:val="-18"/>
                        <w:w w:val="105"/>
                        <w:sz w:val="18"/>
                      </w:rPr>
                      <w:t> </w:t>
                    </w:r>
                    <w:r>
                      <w:rPr>
                        <w:w w:val="105"/>
                        <w:sz w:val="18"/>
                      </w:rPr>
                      <w:t>orthostatic</w:t>
                    </w:r>
                    <w:r>
                      <w:rPr>
                        <w:spacing w:val="-18"/>
                        <w:w w:val="105"/>
                        <w:sz w:val="18"/>
                      </w:rPr>
                      <w:t> </w:t>
                    </w:r>
                    <w:r>
                      <w:rPr>
                        <w:w w:val="105"/>
                        <w:sz w:val="18"/>
                      </w:rPr>
                      <w:t>tachycardia</w:t>
                    </w:r>
                    <w:r>
                      <w:rPr>
                        <w:spacing w:val="-18"/>
                        <w:w w:val="105"/>
                        <w:sz w:val="18"/>
                      </w:rPr>
                      <w:t> </w:t>
                    </w:r>
                    <w:r>
                      <w:rPr>
                        <w:w w:val="105"/>
                        <w:sz w:val="18"/>
                      </w:rPr>
                      <w:t>syndrome</w:t>
                    </w:r>
                    <w:r>
                      <w:rPr>
                        <w:spacing w:val="-18"/>
                        <w:w w:val="105"/>
                        <w:sz w:val="18"/>
                      </w:rPr>
                      <w:t> </w:t>
                    </w:r>
                    <w:r>
                      <w:rPr>
                        <w:rFonts w:ascii="Arial" w:hAnsi="Arial"/>
                        <w:w w:val="105"/>
                        <w:position w:val="2"/>
                        <w:sz w:val="18"/>
                      </w:rPr>
                      <w:t>•</w:t>
                    </w:r>
                    <w:r>
                      <w:rPr>
                        <w:rFonts w:ascii="Arial" w:hAnsi="Arial"/>
                        <w:spacing w:val="-22"/>
                        <w:w w:val="105"/>
                        <w:position w:val="2"/>
                        <w:sz w:val="18"/>
                      </w:rPr>
                      <w:t> </w:t>
                    </w:r>
                    <w:r>
                      <w:rPr>
                        <w:w w:val="105"/>
                        <w:sz w:val="18"/>
                      </w:rPr>
                      <w:t>Autonomic</w:t>
                    </w:r>
                    <w:r>
                      <w:rPr>
                        <w:spacing w:val="-18"/>
                        <w:w w:val="105"/>
                        <w:sz w:val="18"/>
                      </w:rPr>
                      <w:t> </w:t>
                    </w:r>
                    <w:r>
                      <w:rPr>
                        <w:w w:val="105"/>
                        <w:sz w:val="18"/>
                      </w:rPr>
                      <w:t>disorders</w:t>
                    </w:r>
                    <w:r>
                      <w:rPr>
                        <w:spacing w:val="-18"/>
                        <w:w w:val="105"/>
                        <w:sz w:val="18"/>
                      </w:rPr>
                      <w:t> </w:t>
                    </w:r>
                    <w:r>
                      <w:rPr>
                        <w:rFonts w:ascii="Arial" w:hAnsi="Arial"/>
                        <w:w w:val="105"/>
                        <w:position w:val="2"/>
                        <w:sz w:val="18"/>
                      </w:rPr>
                      <w:t>•</w:t>
                    </w:r>
                    <w:r>
                      <w:rPr>
                        <w:rFonts w:ascii="Arial" w:hAnsi="Arial"/>
                        <w:spacing w:val="-23"/>
                        <w:w w:val="105"/>
                        <w:position w:val="2"/>
                        <w:sz w:val="18"/>
                      </w:rPr>
                      <w:t> </w:t>
                    </w:r>
                    <w:r>
                      <w:rPr>
                        <w:w w:val="105"/>
                        <w:sz w:val="18"/>
                      </w:rPr>
                      <w:t>Dysautonomia</w:t>
                    </w:r>
                    <w:r>
                      <w:rPr>
                        <w:spacing w:val="-18"/>
                        <w:w w:val="105"/>
                        <w:sz w:val="18"/>
                      </w:rPr>
                      <w:t> </w:t>
                    </w:r>
                    <w:r>
                      <w:rPr>
                        <w:rFonts w:ascii="Arial" w:hAnsi="Arial"/>
                        <w:w w:val="105"/>
                        <w:position w:val="2"/>
                        <w:sz w:val="18"/>
                      </w:rPr>
                      <w:t>•</w:t>
                    </w:r>
                    <w:r>
                      <w:rPr>
                        <w:rFonts w:ascii="Arial" w:hAnsi="Arial"/>
                        <w:spacing w:val="-22"/>
                        <w:w w:val="105"/>
                        <w:position w:val="2"/>
                        <w:sz w:val="18"/>
                      </w:rPr>
                      <w:t> </w:t>
                    </w:r>
                    <w:r>
                      <w:rPr>
                        <w:w w:val="105"/>
                        <w:sz w:val="18"/>
                      </w:rPr>
                      <w:t>Chronic</w:t>
                    </w:r>
                    <w:r>
                      <w:rPr>
                        <w:spacing w:val="-18"/>
                        <w:w w:val="105"/>
                        <w:sz w:val="18"/>
                      </w:rPr>
                      <w:t> </w:t>
                    </w:r>
                    <w:r>
                      <w:rPr>
                        <w:w w:val="105"/>
                        <w:sz w:val="18"/>
                      </w:rPr>
                      <w:t>illness</w:t>
                    </w:r>
                  </w:p>
                </w:txbxContent>
              </v:textbox>
              <w10:wrap type="none"/>
            </v:shape>
            <w10:wrap type="none"/>
          </v:group>
        </w:pict>
      </w:r>
      <w:r>
        <w:rPr>
          <w:i/>
          <w:sz w:val="14"/>
        </w:rPr>
        <w:t>Received 23 May 2025; received in revised form 14 September 2025; accepted 20 September 2025; online published-ahead-of-print 9 January 2026</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4"/>
        <w:rPr>
          <w:i/>
          <w:sz w:val="13"/>
        </w:rPr>
      </w:pPr>
      <w:r>
        <w:rPr/>
        <w:pict>
          <v:line style="position:absolute;mso-position-horizontal-relative:page;mso-position-vertical-relative:paragraph;z-index:1048;mso-wrap-distance-left:0;mso-wrap-distance-right:0" from="47.820801pt,10.141453pt" to="550.934082pt,10.141453pt" stroked="true" strokeweight=".249001pt" strokecolor="#000000">
            <v:stroke dashstyle="solid"/>
            <w10:wrap type="topAndBottom"/>
          </v:line>
        </w:pict>
      </w:r>
    </w:p>
    <w:p>
      <w:pPr>
        <w:spacing w:before="61"/>
        <w:ind w:left="956" w:right="0" w:firstLine="0"/>
        <w:jc w:val="left"/>
        <w:rPr>
          <w:sz w:val="14"/>
        </w:rPr>
      </w:pPr>
      <w:bookmarkStart w:name="_bookmark15" w:id="17"/>
      <w:bookmarkEnd w:id="17"/>
      <w:r>
        <w:rPr/>
      </w:r>
      <w:r>
        <w:rPr>
          <w:position w:val="1"/>
          <w:sz w:val="14"/>
        </w:rPr>
        <w:t>*Corresponding author at: Department of Cardiology, Royal Adelaide Hospital, 1 Port Rd, Adelaide, SA 5000, Australia; Email: </w:t>
      </w:r>
      <w:hyperlink r:id="rId10">
        <w:r>
          <w:rPr>
            <w:color w:val="127EAD"/>
            <w:position w:val="1"/>
            <w:sz w:val="14"/>
          </w:rPr>
          <w:t>dennis.h.lau@adelaide.edu.au</w:t>
        </w:r>
      </w:hyperlink>
      <w:r>
        <w:rPr>
          <w:position w:val="1"/>
          <w:sz w:val="14"/>
        </w:rPr>
        <w:t>;   </w:t>
      </w:r>
      <w:r>
        <w:rPr>
          <w:spacing w:val="5"/>
          <w:sz w:val="14"/>
        </w:rPr>
        <w:drawing>
          <wp:inline distT="0" distB="0" distL="0" distR="0">
            <wp:extent cx="111760" cy="114300"/>
            <wp:effectExtent l="0" t="0" r="0" b="0"/>
            <wp:docPr id="1" name="image5.png" descr=""/>
            <wp:cNvGraphicFramePr>
              <a:graphicFrameLocks noChangeAspect="1"/>
            </wp:cNvGraphicFramePr>
            <a:graphic>
              <a:graphicData uri="http://schemas.openxmlformats.org/drawingml/2006/picture">
                <pic:pic>
                  <pic:nvPicPr>
                    <pic:cNvPr id="2" name="image5.png"/>
                    <pic:cNvPicPr/>
                  </pic:nvPicPr>
                  <pic:blipFill>
                    <a:blip r:embed="rId11" cstate="print"/>
                    <a:stretch>
                      <a:fillRect/>
                    </a:stretch>
                  </pic:blipFill>
                  <pic:spPr>
                    <a:xfrm>
                      <a:off x="0" y="0"/>
                      <a:ext cx="111760" cy="114300"/>
                    </a:xfrm>
                    <a:prstGeom prst="rect">
                      <a:avLst/>
                    </a:prstGeom>
                  </pic:spPr>
                </pic:pic>
              </a:graphicData>
            </a:graphic>
          </wp:inline>
        </w:drawing>
      </w:r>
      <w:r>
        <w:rPr>
          <w:spacing w:val="5"/>
          <w:sz w:val="14"/>
        </w:rPr>
      </w:r>
    </w:p>
    <w:p>
      <w:pPr>
        <w:spacing w:before="40"/>
        <w:ind w:left="956" w:right="0" w:firstLine="0"/>
        <w:jc w:val="left"/>
        <w:rPr>
          <w:sz w:val="14"/>
        </w:rPr>
      </w:pPr>
      <w:hyperlink r:id="rId12">
        <w:r>
          <w:rPr>
            <w:color w:val="127EAD"/>
            <w:sz w:val="14"/>
          </w:rPr>
          <w:t>@DH_Lau</w:t>
        </w:r>
      </w:hyperlink>
    </w:p>
    <w:p>
      <w:pPr>
        <w:spacing w:line="300" w:lineRule="auto" w:before="38"/>
        <w:ind w:left="956" w:right="448" w:firstLine="0"/>
        <w:jc w:val="left"/>
        <w:rPr>
          <w:sz w:val="14"/>
        </w:rPr>
      </w:pPr>
      <w:r>
        <w:rPr>
          <w:rFonts w:ascii="Symbol" w:hAnsi="Symbol"/>
          <w:sz w:val="14"/>
        </w:rPr>
        <w:t>�</w:t>
      </w:r>
      <w:r>
        <w:rPr>
          <w:rFonts w:ascii="Times New Roman" w:hAnsi="Times New Roman"/>
          <w:sz w:val="14"/>
        </w:rPr>
        <w:t> </w:t>
      </w:r>
      <w:r>
        <w:rPr>
          <w:sz w:val="14"/>
        </w:rPr>
        <w:t>2025 The Author(s). Published by Elsevier B.V. on behalf of Australian and New Zealand Society of Cardiac and Thoracic Surgeons (ANZSCTS) and the Cardiac Society of Australia and New Zealand (CSANZ). This is an open access article under the CC BY license (</w:t>
      </w:r>
      <w:hyperlink r:id="rId13">
        <w:r>
          <w:rPr>
            <w:color w:val="127EAD"/>
            <w:sz w:val="14"/>
          </w:rPr>
          <w:t>http://creativecommons.org/licenses/by/4.0/</w:t>
        </w:r>
      </w:hyperlink>
      <w:r>
        <w:rPr>
          <w:sz w:val="14"/>
        </w:rPr>
        <w:t>).</w:t>
      </w:r>
    </w:p>
    <w:p>
      <w:pPr>
        <w:spacing w:after="0" w:line="300" w:lineRule="auto"/>
        <w:jc w:val="left"/>
        <w:rPr>
          <w:sz w:val="14"/>
        </w:rPr>
        <w:sectPr>
          <w:type w:val="continuous"/>
          <w:pgSz w:w="11910" w:h="15880"/>
          <w:pgMar w:top="660" w:bottom="280" w:left="0" w:right="0"/>
        </w:sectPr>
      </w:pPr>
    </w:p>
    <w:p>
      <w:pPr>
        <w:pStyle w:val="BodyText"/>
        <w:spacing w:before="9"/>
        <w:rPr>
          <w:sz w:val="24"/>
        </w:rPr>
      </w:pPr>
    </w:p>
    <w:p>
      <w:pPr>
        <w:spacing w:after="0"/>
        <w:rPr>
          <w:sz w:val="24"/>
        </w:rPr>
        <w:sectPr>
          <w:headerReference w:type="even" r:id="rId14"/>
          <w:headerReference w:type="default" r:id="rId15"/>
          <w:pgSz w:w="11910" w:h="15880"/>
          <w:pgMar w:header="471" w:footer="0" w:top="840" w:bottom="280" w:left="780" w:right="840"/>
          <w:pgNumType w:start="172"/>
        </w:sectPr>
      </w:pPr>
    </w:p>
    <w:p>
      <w:pPr>
        <w:pStyle w:val="Heading1"/>
        <w:spacing w:before="94"/>
      </w:pPr>
      <w:r>
        <w:rPr/>
        <w:drawing>
          <wp:anchor distT="0" distB="0" distL="0" distR="0" allowOverlap="1" layoutInCell="1" locked="0" behindDoc="0" simplePos="0" relativeHeight="1168">
            <wp:simplePos x="0" y="0"/>
            <wp:positionH relativeFrom="page">
              <wp:posOffset>3748455</wp:posOffset>
            </wp:positionH>
            <wp:positionV relativeFrom="paragraph">
              <wp:posOffset>95408</wp:posOffset>
            </wp:positionV>
            <wp:extent cx="12649" cy="4179849"/>
            <wp:effectExtent l="0" t="0" r="0" b="0"/>
            <wp:wrapNone/>
            <wp:docPr id="3" name="image6.png" descr=""/>
            <wp:cNvGraphicFramePr>
              <a:graphicFrameLocks noChangeAspect="1"/>
            </wp:cNvGraphicFramePr>
            <a:graphic>
              <a:graphicData uri="http://schemas.openxmlformats.org/drawingml/2006/picture">
                <pic:pic>
                  <pic:nvPicPr>
                    <pic:cNvPr id="4" name="image6.png"/>
                    <pic:cNvPicPr/>
                  </pic:nvPicPr>
                  <pic:blipFill>
                    <a:blip r:embed="rId16" cstate="print"/>
                    <a:stretch>
                      <a:fillRect/>
                    </a:stretch>
                  </pic:blipFill>
                  <pic:spPr>
                    <a:xfrm>
                      <a:off x="0" y="0"/>
                      <a:ext cx="12649" cy="4179849"/>
                    </a:xfrm>
                    <a:prstGeom prst="rect">
                      <a:avLst/>
                    </a:prstGeom>
                  </pic:spPr>
                </pic:pic>
              </a:graphicData>
            </a:graphic>
          </wp:anchor>
        </w:drawing>
      </w:r>
      <w:bookmarkStart w:name="Introduction" w:id="18"/>
      <w:bookmarkEnd w:id="18"/>
      <w:r>
        <w:rPr>
          <w:b w:val="0"/>
        </w:rPr>
      </w:r>
      <w:r>
        <w:rPr>
          <w:color w:val="E53527"/>
        </w:rPr>
        <w:t>Introduction</w:t>
      </w:r>
    </w:p>
    <w:p>
      <w:pPr>
        <w:pStyle w:val="BodyText"/>
        <w:spacing w:line="256" w:lineRule="auto" w:before="106"/>
        <w:ind w:left="106" w:right="252"/>
        <w:jc w:val="both"/>
      </w:pPr>
      <w:r>
        <w:rPr/>
        <w:t>Postural orthostatic tachycardia syndrome (POTS) was first defined by Schondorf and Low in 1993 as a mild form of acute autonomic neuropathy when they reported on 16 patients who exhibited tachycardia at rest or during head- up tilt testing at the Mayo Clinic [</w:t>
      </w:r>
      <w:hyperlink w:history="true" w:anchor="_bookmark22">
        <w:r>
          <w:rPr>
            <w:color w:val="127EAD"/>
          </w:rPr>
          <w:t>1</w:t>
        </w:r>
      </w:hyperlink>
      <w:r>
        <w:rPr/>
        <w:t>]. The understanding of POTS has evolved significantly over the last decades, with recognition that it is a heterogeneous syndrome of ortho- static intolerance and autonomic dysfunction, with frequent presence of non-orthostatic symptoms. The haemodynamic criteria for the diagnosis of POTS, along with its common symptoms,</w:t>
      </w:r>
      <w:r>
        <w:rPr>
          <w:spacing w:val="-7"/>
        </w:rPr>
        <w:t> </w:t>
      </w:r>
      <w:r>
        <w:rPr/>
        <w:t>are</w:t>
      </w:r>
      <w:r>
        <w:rPr>
          <w:spacing w:val="-6"/>
        </w:rPr>
        <w:t> </w:t>
      </w:r>
      <w:r>
        <w:rPr/>
        <w:t>detailed</w:t>
      </w:r>
      <w:r>
        <w:rPr>
          <w:spacing w:val="-6"/>
        </w:rPr>
        <w:t> </w:t>
      </w:r>
      <w:r>
        <w:rPr/>
        <w:t>in</w:t>
      </w:r>
      <w:r>
        <w:rPr>
          <w:spacing w:val="-6"/>
        </w:rPr>
        <w:t> </w:t>
      </w:r>
      <w:hyperlink w:history="true" w:anchor="_bookmark16">
        <w:r>
          <w:rPr>
            <w:color w:val="127EAD"/>
          </w:rPr>
          <w:t>Table</w:t>
        </w:r>
        <w:r>
          <w:rPr>
            <w:color w:val="127EAD"/>
            <w:spacing w:val="-6"/>
          </w:rPr>
          <w:t> </w:t>
        </w:r>
        <w:r>
          <w:rPr>
            <w:color w:val="127EAD"/>
          </w:rPr>
          <w:t>1</w:t>
        </w:r>
      </w:hyperlink>
      <w:r>
        <w:rPr>
          <w:color w:val="127EAD"/>
          <w:spacing w:val="-7"/>
        </w:rPr>
        <w:t> </w:t>
      </w:r>
      <w:r>
        <w:rPr/>
        <w:t>[</w:t>
      </w:r>
      <w:hyperlink w:history="true" w:anchor="_bookmark23">
        <w:r>
          <w:rPr>
            <w:color w:val="127EAD"/>
          </w:rPr>
          <w:t>2</w:t>
        </w:r>
      </w:hyperlink>
      <w:r>
        <w:rPr/>
        <w:t>,</w:t>
      </w:r>
      <w:hyperlink w:history="true" w:anchor="_bookmark24">
        <w:r>
          <w:rPr>
            <w:color w:val="127EAD"/>
          </w:rPr>
          <w:t>3</w:t>
        </w:r>
      </w:hyperlink>
      <w:r>
        <w:rPr/>
        <w:t>].</w:t>
      </w:r>
      <w:r>
        <w:rPr>
          <w:spacing w:val="-5"/>
        </w:rPr>
        <w:t> </w:t>
      </w:r>
      <w:r>
        <w:rPr/>
        <w:t>The</w:t>
      </w:r>
      <w:r>
        <w:rPr>
          <w:spacing w:val="-6"/>
        </w:rPr>
        <w:t> </w:t>
      </w:r>
      <w:r>
        <w:rPr/>
        <w:t>exact</w:t>
      </w:r>
      <w:r>
        <w:rPr>
          <w:spacing w:val="-6"/>
        </w:rPr>
        <w:t> </w:t>
      </w:r>
      <w:r>
        <w:rPr/>
        <w:t>prevalence of POTS is unknown, with a recent study suggesting an estimated prevalence of 1.73% before and 3.42% after COVID-19 infection [</w:t>
      </w:r>
      <w:hyperlink w:history="true" w:anchor="_bookmark25">
        <w:r>
          <w:rPr>
            <w:color w:val="127EAD"/>
          </w:rPr>
          <w:t>4</w:t>
        </w:r>
      </w:hyperlink>
      <w:r>
        <w:rPr/>
        <w:t>]. The condition affects more </w:t>
      </w:r>
      <w:r>
        <w:rPr>
          <w:spacing w:val="30"/>
        </w:rPr>
        <w:t> </w:t>
      </w:r>
      <w:r>
        <w:rPr/>
        <w:t>females</w:t>
      </w:r>
    </w:p>
    <w:p>
      <w:pPr>
        <w:pStyle w:val="BodyText"/>
        <w:spacing w:line="246" w:lineRule="exact"/>
        <w:ind w:left="106"/>
        <w:jc w:val="both"/>
      </w:pPr>
      <w:r>
        <w:rPr/>
        <w:t>than males (</w:t>
      </w:r>
      <w:r>
        <w:rPr>
          <w:rFonts w:ascii="Lucida Sans Unicode" w:hAnsi="Lucida Sans Unicode"/>
        </w:rPr>
        <w:t>∼</w:t>
      </w:r>
      <w:r>
        <w:rPr/>
        <w:t>9:1), with age of onset typically between 12</w:t>
      </w:r>
    </w:p>
    <w:p>
      <w:pPr>
        <w:pStyle w:val="BodyText"/>
        <w:spacing w:line="256" w:lineRule="auto"/>
        <w:ind w:left="106" w:right="251"/>
        <w:jc w:val="both"/>
      </w:pPr>
      <w:r>
        <w:rPr/>
        <w:t>and 50 years, and common triggers including viral</w:t>
      </w:r>
      <w:r>
        <w:rPr>
          <w:spacing w:val="-30"/>
        </w:rPr>
        <w:t> </w:t>
      </w:r>
      <w:r>
        <w:rPr/>
        <w:t>infection, hormonal changes (menarche, pregnancy, perimenopause, menopause), growth spurt during adolescence, physical trauma including concussion, or surgery [</w:t>
      </w:r>
      <w:hyperlink w:history="true" w:anchor="_bookmark26">
        <w:r>
          <w:rPr>
            <w:color w:val="127EAD"/>
          </w:rPr>
          <w:t>5</w:t>
        </w:r>
      </w:hyperlink>
      <w:r>
        <w:rPr/>
        <w:t>,</w:t>
      </w:r>
      <w:hyperlink w:history="true" w:anchor="_bookmark27">
        <w:r>
          <w:rPr>
            <w:color w:val="127EAD"/>
          </w:rPr>
          <w:t>6</w:t>
        </w:r>
      </w:hyperlink>
      <w:r>
        <w:rPr/>
        <w:t>]. The natural history of POTS has not been well studied with most pa- tients reporting ongoing symptoms with exacerbations or flares over time</w:t>
      </w:r>
      <w:r>
        <w:rPr>
          <w:spacing w:val="32"/>
        </w:rPr>
        <w:t> </w:t>
      </w:r>
      <w:r>
        <w:rPr/>
        <w:t>[</w:t>
      </w:r>
      <w:hyperlink w:history="true" w:anchor="_bookmark26">
        <w:r>
          <w:rPr>
            <w:color w:val="127EAD"/>
          </w:rPr>
          <w:t>5</w:t>
        </w:r>
      </w:hyperlink>
      <w:r>
        <w:rPr/>
        <w:t>,</w:t>
      </w:r>
      <w:hyperlink w:history="true" w:anchor="_bookmark28">
        <w:r>
          <w:rPr>
            <w:color w:val="127EAD"/>
          </w:rPr>
          <w:t>7</w:t>
        </w:r>
      </w:hyperlink>
      <w:r>
        <w:rPr/>
        <w:t>].</w:t>
      </w:r>
    </w:p>
    <w:p>
      <w:pPr>
        <w:pStyle w:val="BodyText"/>
        <w:spacing w:line="256" w:lineRule="auto"/>
        <w:ind w:left="106" w:right="248" w:firstLine="179"/>
        <w:jc w:val="both"/>
      </w:pPr>
      <w:r>
        <w:rPr/>
        <w:t>Given the complexity of POTS and common comor- bidities (including migraine, joint hypermobility, myalgic encephalomyelitis/chronic fatigue syndrome, fibromyal- gia,  autoimmune  disorders  [e.g.,  coeliac  disease],    and</w:t>
      </w:r>
    </w:p>
    <w:p>
      <w:pPr>
        <w:pStyle w:val="BodyText"/>
        <w:spacing w:line="256" w:lineRule="auto" w:before="105"/>
        <w:ind w:left="106" w:right="110"/>
        <w:jc w:val="both"/>
      </w:pPr>
      <w:r>
        <w:rPr/>
        <w:br w:type="column"/>
      </w:r>
      <w:r>
        <w:rPr>
          <w:spacing w:val="2"/>
        </w:rPr>
        <w:t>mast cell activation disorder), </w:t>
      </w:r>
      <w:r>
        <w:rPr/>
        <w:t>it is of no </w:t>
      </w:r>
      <w:r>
        <w:rPr>
          <w:spacing w:val="2"/>
        </w:rPr>
        <w:t>surprise  </w:t>
      </w:r>
      <w:r>
        <w:rPr>
          <w:spacing w:val="3"/>
        </w:rPr>
        <w:t>that  </w:t>
      </w:r>
      <w:r>
        <w:rPr>
          <w:spacing w:val="2"/>
        </w:rPr>
        <w:t>those with this condition have poorer </w:t>
      </w:r>
      <w:r>
        <w:rPr>
          <w:spacing w:val="3"/>
        </w:rPr>
        <w:t>health-related </w:t>
      </w:r>
      <w:r>
        <w:rPr>
          <w:spacing w:val="2"/>
        </w:rPr>
        <w:t>quality </w:t>
      </w:r>
      <w:r>
        <w:rPr/>
        <w:t>of </w:t>
      </w:r>
      <w:r>
        <w:rPr>
          <w:spacing w:val="2"/>
        </w:rPr>
        <w:t>life than many other chronic </w:t>
      </w:r>
      <w:r>
        <w:rPr>
          <w:spacing w:val="3"/>
        </w:rPr>
        <w:t>conditions, </w:t>
      </w:r>
      <w:r>
        <w:rPr>
          <w:spacing w:val="2"/>
        </w:rPr>
        <w:t>including diabetes mellitus, neoplasms, </w:t>
      </w:r>
      <w:r>
        <w:rPr>
          <w:spacing w:val="3"/>
        </w:rPr>
        <w:t>cardiovascular </w:t>
      </w:r>
      <w:r>
        <w:rPr>
          <w:spacing w:val="2"/>
        </w:rPr>
        <w:t>disease, </w:t>
      </w:r>
      <w:r>
        <w:rPr/>
        <w:t>and </w:t>
      </w:r>
      <w:r>
        <w:rPr>
          <w:spacing w:val="2"/>
        </w:rPr>
        <w:t>chronic kidney disease [</w:t>
      </w:r>
      <w:hyperlink w:history="true" w:anchor="_bookmark24">
        <w:r>
          <w:rPr>
            <w:color w:val="127EAD"/>
            <w:spacing w:val="2"/>
          </w:rPr>
          <w:t>3</w:t>
        </w:r>
      </w:hyperlink>
      <w:r>
        <w:rPr>
          <w:spacing w:val="2"/>
        </w:rPr>
        <w:t>,</w:t>
      </w:r>
      <w:hyperlink w:history="true" w:anchor="_bookmark29">
        <w:r>
          <w:rPr>
            <w:color w:val="127EAD"/>
            <w:spacing w:val="2"/>
          </w:rPr>
          <w:t>8</w:t>
        </w:r>
      </w:hyperlink>
      <w:r>
        <w:rPr>
          <w:spacing w:val="2"/>
        </w:rPr>
        <w:t>]. </w:t>
      </w:r>
      <w:r>
        <w:rPr>
          <w:spacing w:val="3"/>
        </w:rPr>
        <w:t>Unfortunately, </w:t>
      </w:r>
      <w:r>
        <w:rPr>
          <w:spacing w:val="2"/>
        </w:rPr>
        <w:t>many individuals with POTS report high rates </w:t>
      </w:r>
      <w:r>
        <w:rPr/>
        <w:t>of </w:t>
      </w:r>
      <w:r>
        <w:rPr>
          <w:spacing w:val="2"/>
        </w:rPr>
        <w:t>misdi- agnosis, emergency department visits, </w:t>
      </w:r>
      <w:r>
        <w:rPr/>
        <w:t>and  </w:t>
      </w:r>
      <w:r>
        <w:rPr>
          <w:spacing w:val="3"/>
        </w:rPr>
        <w:t>diagnostic </w:t>
      </w:r>
      <w:r>
        <w:rPr>
          <w:spacing w:val="2"/>
        </w:rPr>
        <w:t>delay between </w:t>
      </w:r>
      <w:r>
        <w:rPr/>
        <w:t>5 and 7 </w:t>
      </w:r>
      <w:r>
        <w:rPr>
          <w:spacing w:val="2"/>
        </w:rPr>
        <w:t>years [</w:t>
      </w:r>
      <w:hyperlink w:history="true" w:anchor="_bookmark26">
        <w:r>
          <w:rPr>
            <w:color w:val="127EAD"/>
            <w:spacing w:val="2"/>
          </w:rPr>
          <w:t>5</w:t>
        </w:r>
      </w:hyperlink>
      <w:r>
        <w:rPr>
          <w:spacing w:val="2"/>
        </w:rPr>
        <w:t>,</w:t>
      </w:r>
      <w:hyperlink w:history="true" w:anchor="_bookmark30">
        <w:r>
          <w:rPr>
            <w:color w:val="127EAD"/>
            <w:spacing w:val="2"/>
          </w:rPr>
          <w:t>9</w:t>
        </w:r>
      </w:hyperlink>
      <w:r>
        <w:rPr>
          <w:spacing w:val="2"/>
        </w:rPr>
        <w:t>,</w:t>
      </w:r>
      <w:hyperlink w:history="true" w:anchor="_bookmark31">
        <w:r>
          <w:rPr>
            <w:color w:val="127EAD"/>
            <w:spacing w:val="2"/>
          </w:rPr>
          <w:t>10</w:t>
        </w:r>
      </w:hyperlink>
      <w:r>
        <w:rPr>
          <w:spacing w:val="2"/>
        </w:rPr>
        <w:t>]. Despite </w:t>
      </w:r>
      <w:r>
        <w:rPr/>
        <w:t>the </w:t>
      </w:r>
      <w:r>
        <w:rPr>
          <w:spacing w:val="3"/>
        </w:rPr>
        <w:t>female </w:t>
      </w:r>
      <w:r>
        <w:rPr>
          <w:spacing w:val="2"/>
        </w:rPr>
        <w:t>dominance </w:t>
      </w:r>
      <w:r>
        <w:rPr/>
        <w:t>of </w:t>
      </w:r>
      <w:r>
        <w:rPr>
          <w:spacing w:val="2"/>
        </w:rPr>
        <w:t>this condition, </w:t>
      </w:r>
      <w:r>
        <w:rPr/>
        <w:t>a </w:t>
      </w:r>
      <w:r>
        <w:rPr>
          <w:spacing w:val="2"/>
        </w:rPr>
        <w:t>protracted  </w:t>
      </w:r>
      <w:r>
        <w:rPr>
          <w:spacing w:val="3"/>
        </w:rPr>
        <w:t>diagnostic</w:t>
      </w:r>
      <w:r>
        <w:rPr>
          <w:spacing w:val="51"/>
        </w:rPr>
        <w:t> </w:t>
      </w:r>
      <w:r>
        <w:rPr>
          <w:spacing w:val="2"/>
        </w:rPr>
        <w:t>delay </w:t>
      </w:r>
      <w:r>
        <w:rPr/>
        <w:t>has </w:t>
      </w:r>
      <w:r>
        <w:rPr>
          <w:spacing w:val="2"/>
        </w:rPr>
        <w:t>been observed </w:t>
      </w:r>
      <w:r>
        <w:rPr/>
        <w:t>in </w:t>
      </w:r>
      <w:r>
        <w:rPr>
          <w:spacing w:val="2"/>
        </w:rPr>
        <w:t>females compared with </w:t>
      </w:r>
      <w:r>
        <w:rPr>
          <w:spacing w:val="3"/>
        </w:rPr>
        <w:t>males </w:t>
      </w:r>
      <w:r>
        <w:rPr>
          <w:spacing w:val="2"/>
        </w:rPr>
        <w:t>[</w:t>
      </w:r>
      <w:hyperlink w:history="true" w:anchor="_bookmark30">
        <w:r>
          <w:rPr>
            <w:color w:val="127EAD"/>
            <w:spacing w:val="2"/>
          </w:rPr>
          <w:t>9</w:t>
        </w:r>
      </w:hyperlink>
      <w:r>
        <w:rPr>
          <w:spacing w:val="2"/>
        </w:rPr>
        <w:t>]. This suggests poor recognition </w:t>
      </w:r>
      <w:r>
        <w:rPr/>
        <w:t>and </w:t>
      </w:r>
      <w:r>
        <w:rPr>
          <w:spacing w:val="2"/>
        </w:rPr>
        <w:t>awareness  </w:t>
      </w:r>
      <w:r>
        <w:rPr>
          <w:spacing w:val="3"/>
        </w:rPr>
        <w:t>of</w:t>
      </w:r>
      <w:r>
        <w:rPr>
          <w:spacing w:val="51"/>
        </w:rPr>
        <w:t> </w:t>
      </w:r>
      <w:r>
        <w:rPr>
          <w:spacing w:val="2"/>
        </w:rPr>
        <w:t>POTS </w:t>
      </w:r>
      <w:r>
        <w:rPr/>
        <w:t>in the </w:t>
      </w:r>
      <w:r>
        <w:rPr>
          <w:spacing w:val="2"/>
        </w:rPr>
        <w:t>medical community, which </w:t>
      </w:r>
      <w:r>
        <w:rPr/>
        <w:t>has </w:t>
      </w:r>
      <w:r>
        <w:rPr>
          <w:spacing w:val="3"/>
        </w:rPr>
        <w:t>likely </w:t>
      </w:r>
      <w:r>
        <w:rPr>
          <w:spacing w:val="2"/>
        </w:rPr>
        <w:t>improved since </w:t>
      </w:r>
      <w:r>
        <w:rPr/>
        <w:t>the </w:t>
      </w:r>
      <w:r>
        <w:rPr>
          <w:spacing w:val="2"/>
        </w:rPr>
        <w:t>coronavirus pandemic, </w:t>
      </w:r>
      <w:r>
        <w:rPr>
          <w:spacing w:val="3"/>
        </w:rPr>
        <w:t>which </w:t>
      </w:r>
      <w:r>
        <w:rPr>
          <w:spacing w:val="2"/>
        </w:rPr>
        <w:t>precipitated </w:t>
      </w:r>
      <w:r>
        <w:rPr/>
        <w:t>a </w:t>
      </w:r>
      <w:r>
        <w:rPr>
          <w:spacing w:val="2"/>
        </w:rPr>
        <w:t>surge </w:t>
      </w:r>
      <w:r>
        <w:rPr/>
        <w:t>in </w:t>
      </w:r>
      <w:r>
        <w:rPr>
          <w:spacing w:val="2"/>
        </w:rPr>
        <w:t>POTS presentations after  </w:t>
      </w:r>
      <w:r>
        <w:rPr>
          <w:spacing w:val="35"/>
        </w:rPr>
        <w:t> </w:t>
      </w:r>
      <w:r>
        <w:rPr>
          <w:spacing w:val="2"/>
        </w:rPr>
        <w:t>COVID-</w:t>
      </w:r>
    </w:p>
    <w:p>
      <w:pPr>
        <w:pStyle w:val="BodyText"/>
        <w:spacing w:line="256" w:lineRule="auto"/>
        <w:ind w:left="106" w:right="111"/>
        <w:jc w:val="both"/>
      </w:pPr>
      <w:r>
        <w:rPr/>
        <w:t>19 </w:t>
      </w:r>
      <w:r>
        <w:rPr>
          <w:spacing w:val="2"/>
        </w:rPr>
        <w:t>infection </w:t>
      </w:r>
      <w:r>
        <w:rPr/>
        <w:t>or </w:t>
      </w:r>
      <w:r>
        <w:rPr>
          <w:spacing w:val="2"/>
        </w:rPr>
        <w:t>vaccination, </w:t>
      </w:r>
      <w:r>
        <w:rPr/>
        <w:t>and has now  </w:t>
      </w:r>
      <w:r>
        <w:rPr>
          <w:spacing w:val="2"/>
        </w:rPr>
        <w:t>been  recog-  nised </w:t>
      </w:r>
      <w:r>
        <w:rPr/>
        <w:t>as a </w:t>
      </w:r>
      <w:r>
        <w:rPr>
          <w:spacing w:val="2"/>
        </w:rPr>
        <w:t>dominant phenotype </w:t>
      </w:r>
      <w:r>
        <w:rPr/>
        <w:t>in </w:t>
      </w:r>
      <w:r>
        <w:rPr>
          <w:spacing w:val="2"/>
        </w:rPr>
        <w:t>long-COVID </w:t>
      </w:r>
      <w:r>
        <w:rPr>
          <w:spacing w:val="3"/>
        </w:rPr>
        <w:t>[</w:t>
      </w:r>
      <w:hyperlink w:history="true" w:anchor="_bookmark25">
        <w:r>
          <w:rPr>
            <w:color w:val="127EAD"/>
            <w:spacing w:val="3"/>
          </w:rPr>
          <w:t>4</w:t>
        </w:r>
      </w:hyperlink>
      <w:r>
        <w:rPr>
          <w:spacing w:val="3"/>
        </w:rPr>
        <w:t>,</w:t>
      </w:r>
      <w:hyperlink w:history="true" w:anchor="_bookmark32">
        <w:r>
          <w:rPr>
            <w:color w:val="127EAD"/>
            <w:spacing w:val="3"/>
          </w:rPr>
          <w:t>11–13</w:t>
        </w:r>
      </w:hyperlink>
      <w:r>
        <w:rPr>
          <w:spacing w:val="3"/>
        </w:rPr>
        <w:t>]. </w:t>
      </w:r>
      <w:r>
        <w:rPr/>
        <w:t>The </w:t>
      </w:r>
      <w:r>
        <w:rPr>
          <w:spacing w:val="2"/>
        </w:rPr>
        <w:t>effect </w:t>
      </w:r>
      <w:r>
        <w:rPr/>
        <w:t>of </w:t>
      </w:r>
      <w:r>
        <w:rPr>
          <w:spacing w:val="2"/>
        </w:rPr>
        <w:t>timely recognition, diagnosis, </w:t>
      </w:r>
      <w:r>
        <w:rPr/>
        <w:t>and </w:t>
      </w:r>
      <w:r>
        <w:rPr>
          <w:spacing w:val="2"/>
        </w:rPr>
        <w:t>appro- priate treatment </w:t>
      </w:r>
      <w:r>
        <w:rPr/>
        <w:t>of </w:t>
      </w:r>
      <w:r>
        <w:rPr>
          <w:spacing w:val="2"/>
        </w:rPr>
        <w:t>POTS cannot </w:t>
      </w:r>
      <w:r>
        <w:rPr/>
        <w:t>be </w:t>
      </w:r>
      <w:r>
        <w:rPr>
          <w:spacing w:val="2"/>
        </w:rPr>
        <w:t>overstated. </w:t>
      </w:r>
      <w:r>
        <w:rPr>
          <w:spacing w:val="3"/>
        </w:rPr>
        <w:t>Patients </w:t>
      </w:r>
      <w:r>
        <w:rPr/>
        <w:t>who </w:t>
      </w:r>
      <w:r>
        <w:rPr>
          <w:spacing w:val="2"/>
        </w:rPr>
        <w:t>have been inappropriately labelled with </w:t>
      </w:r>
      <w:r>
        <w:rPr>
          <w:spacing w:val="3"/>
        </w:rPr>
        <w:t>psychiatric </w:t>
      </w:r>
      <w:r>
        <w:rPr>
          <w:spacing w:val="2"/>
        </w:rPr>
        <w:t>diagnoses throughout their diagnostic journey </w:t>
      </w:r>
      <w:r>
        <w:rPr/>
        <w:t>of </w:t>
      </w:r>
      <w:r>
        <w:rPr>
          <w:spacing w:val="3"/>
        </w:rPr>
        <w:t>many </w:t>
      </w:r>
      <w:r>
        <w:rPr>
          <w:spacing w:val="2"/>
        </w:rPr>
        <w:t>years </w:t>
      </w:r>
      <w:r>
        <w:rPr/>
        <w:t>can </w:t>
      </w:r>
      <w:r>
        <w:rPr>
          <w:spacing w:val="2"/>
        </w:rPr>
        <w:t>describe </w:t>
      </w:r>
      <w:r>
        <w:rPr/>
        <w:t>the </w:t>
      </w:r>
      <w:r>
        <w:rPr>
          <w:spacing w:val="2"/>
        </w:rPr>
        <w:t>effect </w:t>
      </w:r>
      <w:r>
        <w:rPr/>
        <w:t>of </w:t>
      </w:r>
      <w:r>
        <w:rPr>
          <w:spacing w:val="2"/>
        </w:rPr>
        <w:t>being believed </w:t>
      </w:r>
      <w:r>
        <w:rPr/>
        <w:t>as </w:t>
      </w:r>
      <w:r>
        <w:rPr>
          <w:spacing w:val="2"/>
        </w:rPr>
        <w:t>“life- changing”</w:t>
      </w:r>
      <w:r>
        <w:rPr>
          <w:spacing w:val="18"/>
        </w:rPr>
        <w:t> </w:t>
      </w:r>
      <w:r>
        <w:rPr>
          <w:spacing w:val="3"/>
        </w:rPr>
        <w:t>[</w:t>
      </w:r>
      <w:hyperlink w:history="true" w:anchor="_bookmark34">
        <w:r>
          <w:rPr>
            <w:color w:val="127EAD"/>
            <w:spacing w:val="3"/>
          </w:rPr>
          <w:t>14</w:t>
        </w:r>
      </w:hyperlink>
      <w:r>
        <w:rPr>
          <w:spacing w:val="3"/>
        </w:rPr>
        <w:t>].</w:t>
      </w:r>
    </w:p>
    <w:p>
      <w:pPr>
        <w:pStyle w:val="BodyText"/>
        <w:spacing w:line="256" w:lineRule="auto"/>
        <w:ind w:left="106" w:right="114" w:firstLine="179"/>
        <w:jc w:val="both"/>
      </w:pPr>
      <w:r>
        <w:rPr/>
        <w:t>This state-of-the-art review on POTS aims to improve knowledge, diagnosis, and management of those experi- encing this chronic debilitating condition. It highlights the nuances of managing POTS, given the complex underlying pathophysiology; the multisystem considerations required in those with comorbidities; the important role of general</w:t>
      </w:r>
    </w:p>
    <w:p>
      <w:pPr>
        <w:spacing w:after="0" w:line="256" w:lineRule="auto"/>
        <w:jc w:val="both"/>
        <w:sectPr>
          <w:type w:val="continuous"/>
          <w:pgSz w:w="11910" w:h="15880"/>
          <w:pgMar w:top="660" w:bottom="280" w:left="780" w:right="840"/>
          <w:cols w:num="2" w:equalWidth="0">
            <w:col w:w="5143" w:space="137"/>
            <w:col w:w="5010"/>
          </w:cols>
        </w:sectPr>
      </w:pPr>
    </w:p>
    <w:p>
      <w:pPr>
        <w:pStyle w:val="BodyText"/>
        <w:rPr>
          <w:sz w:val="20"/>
        </w:rPr>
      </w:pPr>
    </w:p>
    <w:p>
      <w:pPr>
        <w:pStyle w:val="BodyText"/>
        <w:spacing w:before="11"/>
        <w:rPr>
          <w:sz w:val="26"/>
        </w:rPr>
      </w:pPr>
    </w:p>
    <w:p>
      <w:pPr>
        <w:pStyle w:val="Heading3"/>
        <w:spacing w:line="240" w:lineRule="auto" w:before="96"/>
        <w:ind w:left="225"/>
        <w:jc w:val="left"/>
      </w:pPr>
      <w:r>
        <w:rPr/>
        <w:pict>
          <v:group style="position:absolute;margin-left:44.3237pt;margin-top:-1.767139pt;width:503.15pt;height:307.55pt;mso-position-horizontal-relative:page;mso-position-vertical-relative:paragraph;z-index:-41608" coordorigin="886,-35" coordsize="10063,6151">
            <v:shape style="position:absolute;left:886;top:266;width:10063;height:5851" coordorigin="886,266" coordsize="10063,5851" path="m10949,266l10829,266,10829,445,10829,5657,1006,5657,1006,445,10829,445,10829,266,1006,266,886,266,886,5657,886,6116,10949,6116,10949,5657,10949,266e" filled="true" fillcolor="#ebf3fc" stroked="false">
              <v:path arrowok="t"/>
              <v:fill type="solid"/>
            </v:shape>
            <v:line style="position:absolute" from="1006,452" to="10829,452" stroked="true" strokeweight=".747009pt" strokecolor="#e53527">
              <v:stroke dashstyle="solid"/>
            </v:line>
            <v:line style="position:absolute" from="1006,5650" to="10829,5650" stroked="true" strokeweight=".747299pt" strokecolor="#e53527">
              <v:stroke dashstyle="solid"/>
            </v:line>
            <v:shape style="position:absolute;left:1006;top:908;width:6874;height:20" type="#_x0000_t75" stroked="false">
              <v:imagedata r:id="rId17" o:title=""/>
            </v:shape>
            <v:shape style="position:absolute;left:7532;top:908;width:3308;height:20" type="#_x0000_t75" stroked="false">
              <v:imagedata r:id="rId18" o:title=""/>
            </v:shape>
            <v:shape style="position:absolute;left:886;top:-35;width:10063;height:301" coordorigin="886,-35" coordsize="10063,301" path="m10949,-35l886,-35,886,66,886,266,1006,266,10829,266,10949,266,10949,66,10949,-35e" filled="true" fillcolor="#ebf3fc" stroked="false">
              <v:path arrowok="t"/>
              <v:fill type="solid"/>
            </v:shape>
            <w10:wrap type="none"/>
          </v:group>
        </w:pict>
      </w:r>
      <w:bookmarkStart w:name="_bookmark16" w:id="19"/>
      <w:bookmarkEnd w:id="19"/>
      <w:r>
        <w:rPr>
          <w:b w:val="0"/>
        </w:rPr>
      </w:r>
      <w:r>
        <w:rPr>
          <w:color w:val="E53527"/>
        </w:rPr>
        <w:t>Table 1    </w:t>
      </w:r>
      <w:r>
        <w:rPr/>
        <w:t>Diagnostic criteria and common non-orthostatic POTS  symptoms.</w:t>
      </w:r>
    </w:p>
    <w:p>
      <w:pPr>
        <w:pStyle w:val="BodyText"/>
        <w:spacing w:before="5"/>
        <w:rPr>
          <w:b/>
          <w:sz w:val="15"/>
        </w:rPr>
      </w:pPr>
    </w:p>
    <w:p>
      <w:pPr>
        <w:tabs>
          <w:tab w:pos="7100" w:val="left" w:leader="none"/>
        </w:tabs>
        <w:spacing w:line="186" w:lineRule="exact" w:before="0"/>
        <w:ind w:left="306" w:right="0" w:firstLine="0"/>
        <w:jc w:val="left"/>
        <w:rPr>
          <w:b/>
          <w:sz w:val="16"/>
        </w:rPr>
      </w:pPr>
      <w:r>
        <w:rPr>
          <w:b/>
          <w:sz w:val="16"/>
        </w:rPr>
        <w:t>Diagnostic criteria</w:t>
      </w:r>
      <w:r>
        <w:rPr>
          <w:b/>
          <w:spacing w:val="20"/>
          <w:sz w:val="16"/>
        </w:rPr>
        <w:t> </w:t>
      </w:r>
      <w:r>
        <w:rPr>
          <w:b/>
          <w:sz w:val="16"/>
        </w:rPr>
        <w:t>for</w:t>
      </w:r>
      <w:r>
        <w:rPr>
          <w:b/>
          <w:spacing w:val="10"/>
          <w:sz w:val="16"/>
        </w:rPr>
        <w:t> </w:t>
      </w:r>
      <w:r>
        <w:rPr>
          <w:b/>
          <w:sz w:val="16"/>
        </w:rPr>
        <w:t>POTS</w:t>
        <w:tab/>
        <w:t>Common non-orthostatic</w:t>
      </w:r>
      <w:r>
        <w:rPr>
          <w:b/>
          <w:spacing w:val="15"/>
          <w:sz w:val="16"/>
        </w:rPr>
        <w:t> </w:t>
      </w:r>
      <w:r>
        <w:rPr>
          <w:b/>
          <w:sz w:val="16"/>
        </w:rPr>
        <w:t>POTS</w:t>
      </w:r>
    </w:p>
    <w:p>
      <w:pPr>
        <w:spacing w:line="186" w:lineRule="exact" w:before="0"/>
        <w:ind w:left="0" w:right="2430" w:firstLine="0"/>
        <w:jc w:val="right"/>
        <w:rPr>
          <w:b/>
          <w:sz w:val="16"/>
        </w:rPr>
      </w:pPr>
      <w:r>
        <w:rPr>
          <w:b/>
          <w:sz w:val="16"/>
        </w:rPr>
        <w:t>symptoms</w:t>
      </w:r>
    </w:p>
    <w:p>
      <w:pPr>
        <w:spacing w:after="0" w:line="186" w:lineRule="exact"/>
        <w:jc w:val="right"/>
        <w:rPr>
          <w:sz w:val="16"/>
        </w:rPr>
        <w:sectPr>
          <w:type w:val="continuous"/>
          <w:pgSz w:w="11910" w:h="15880"/>
          <w:pgMar w:top="660" w:bottom="280" w:left="780" w:right="840"/>
        </w:sectPr>
      </w:pPr>
    </w:p>
    <w:p>
      <w:pPr>
        <w:pStyle w:val="ListParagraph"/>
        <w:numPr>
          <w:ilvl w:val="0"/>
          <w:numId w:val="1"/>
        </w:numPr>
        <w:tabs>
          <w:tab w:pos="475" w:val="left" w:leader="none"/>
        </w:tabs>
        <w:spacing w:line="288" w:lineRule="auto" w:before="134" w:after="0"/>
        <w:ind w:left="474" w:right="22" w:hanging="167"/>
        <w:jc w:val="left"/>
        <w:rPr>
          <w:sz w:val="16"/>
        </w:rPr>
      </w:pPr>
      <w:r>
        <w:rPr>
          <w:sz w:val="16"/>
        </w:rPr>
        <w:t>Symptoms of orthostatic intolerance during standing that resolve when assuming a su- pine position,</w:t>
      </w:r>
      <w:r>
        <w:rPr>
          <w:spacing w:val="20"/>
          <w:sz w:val="16"/>
        </w:rPr>
        <w:t> </w:t>
      </w:r>
      <w:r>
        <w:rPr>
          <w:sz w:val="16"/>
        </w:rPr>
        <w:t>e.g.,:</w:t>
      </w:r>
    </w:p>
    <w:p>
      <w:pPr>
        <w:pStyle w:val="ListParagraph"/>
        <w:numPr>
          <w:ilvl w:val="1"/>
          <w:numId w:val="1"/>
        </w:numPr>
        <w:tabs>
          <w:tab w:pos="609" w:val="left" w:leader="none"/>
        </w:tabs>
        <w:spacing w:line="240" w:lineRule="auto" w:before="0" w:after="0"/>
        <w:ind w:left="608" w:right="0" w:hanging="132"/>
        <w:jc w:val="left"/>
        <w:rPr>
          <w:sz w:val="16"/>
        </w:rPr>
      </w:pPr>
      <w:r>
        <w:rPr>
          <w:sz w:val="16"/>
        </w:rPr>
        <w:t>Palpitations, light-headedness, tremulousness, generalised weakness, blurred </w:t>
      </w:r>
      <w:r>
        <w:rPr>
          <w:spacing w:val="10"/>
          <w:sz w:val="16"/>
        </w:rPr>
        <w:t> </w:t>
      </w:r>
      <w:r>
        <w:rPr>
          <w:sz w:val="16"/>
        </w:rPr>
        <w:t>vision</w:t>
      </w:r>
    </w:p>
    <w:p>
      <w:pPr>
        <w:pStyle w:val="ListParagraph"/>
        <w:numPr>
          <w:ilvl w:val="0"/>
          <w:numId w:val="1"/>
        </w:numPr>
        <w:tabs>
          <w:tab w:pos="475" w:val="left" w:leader="none"/>
        </w:tabs>
        <w:spacing w:line="240" w:lineRule="auto" w:before="40" w:after="0"/>
        <w:ind w:left="474" w:right="0" w:hanging="167"/>
        <w:jc w:val="left"/>
        <w:rPr>
          <w:sz w:val="16"/>
        </w:rPr>
      </w:pPr>
      <w:r>
        <w:rPr>
          <w:sz w:val="16"/>
        </w:rPr>
        <w:t>Symptom duration of </w:t>
      </w:r>
      <w:r>
        <w:rPr>
          <w:rFonts w:ascii="Arial" w:hAnsi="Arial"/>
          <w:sz w:val="16"/>
        </w:rPr>
        <w:t>≥</w:t>
      </w:r>
      <w:r>
        <w:rPr>
          <w:sz w:val="16"/>
        </w:rPr>
        <w:t>3 </w:t>
      </w:r>
      <w:r>
        <w:rPr>
          <w:spacing w:val="35"/>
          <w:sz w:val="16"/>
        </w:rPr>
        <w:t> </w:t>
      </w:r>
      <w:r>
        <w:rPr>
          <w:sz w:val="16"/>
        </w:rPr>
        <w:t>months</w:t>
      </w:r>
    </w:p>
    <w:p>
      <w:pPr>
        <w:pStyle w:val="ListParagraph"/>
        <w:numPr>
          <w:ilvl w:val="0"/>
          <w:numId w:val="1"/>
        </w:numPr>
        <w:tabs>
          <w:tab w:pos="475" w:val="left" w:leader="none"/>
        </w:tabs>
        <w:spacing w:line="240" w:lineRule="auto" w:before="40" w:after="0"/>
        <w:ind w:left="474" w:right="0" w:hanging="167"/>
        <w:jc w:val="left"/>
        <w:rPr>
          <w:sz w:val="16"/>
        </w:rPr>
      </w:pPr>
      <w:r>
        <w:rPr>
          <w:sz w:val="16"/>
        </w:rPr>
        <w:t>Absence of other conditions that may account for the  </w:t>
      </w:r>
      <w:r>
        <w:rPr>
          <w:spacing w:val="11"/>
          <w:sz w:val="16"/>
        </w:rPr>
        <w:t> </w:t>
      </w:r>
      <w:r>
        <w:rPr>
          <w:sz w:val="16"/>
        </w:rPr>
        <w:t>tachycardia:</w:t>
      </w:r>
    </w:p>
    <w:p>
      <w:pPr>
        <w:pStyle w:val="ListParagraph"/>
        <w:numPr>
          <w:ilvl w:val="1"/>
          <w:numId w:val="1"/>
        </w:numPr>
        <w:tabs>
          <w:tab w:pos="609" w:val="left" w:leader="none"/>
        </w:tabs>
        <w:spacing w:line="288" w:lineRule="auto" w:before="40" w:after="0"/>
        <w:ind w:left="608" w:right="177" w:hanging="132"/>
        <w:jc w:val="left"/>
        <w:rPr>
          <w:sz w:val="16"/>
        </w:rPr>
      </w:pPr>
      <w:r>
        <w:rPr>
          <w:sz w:val="16"/>
        </w:rPr>
        <w:t>Anaemia, infection, dehydration, severe deconditioning, hyperthyroidism, anorexia nervosa, hyperventilation, pain, pheochromocytoma, and </w:t>
      </w:r>
      <w:r>
        <w:rPr>
          <w:spacing w:val="3"/>
          <w:sz w:val="16"/>
        </w:rPr>
        <w:t> </w:t>
      </w:r>
      <w:r>
        <w:rPr>
          <w:sz w:val="16"/>
        </w:rPr>
        <w:t>drugs</w:t>
      </w:r>
    </w:p>
    <w:p>
      <w:pPr>
        <w:spacing w:line="288" w:lineRule="auto" w:before="0"/>
        <w:ind w:left="644" w:right="-7" w:firstLine="0"/>
        <w:jc w:val="left"/>
        <w:rPr>
          <w:sz w:val="16"/>
        </w:rPr>
      </w:pPr>
      <w:r>
        <w:rPr>
          <w:sz w:val="16"/>
        </w:rPr>
        <w:t>(sympathomimetics</w:t>
      </w:r>
      <w:r>
        <w:rPr>
          <w:i/>
          <w:sz w:val="16"/>
        </w:rPr>
        <w:t>, </w:t>
      </w:r>
      <w:r>
        <w:rPr>
          <w:sz w:val="16"/>
        </w:rPr>
        <w:t>e.g., pseudoephedrine, salbutamol, amphetamines, cocaine, etc. anticholinergics</w:t>
      </w:r>
      <w:r>
        <w:rPr>
          <w:i/>
          <w:sz w:val="16"/>
        </w:rPr>
        <w:t>, </w:t>
      </w:r>
      <w:r>
        <w:rPr>
          <w:sz w:val="16"/>
        </w:rPr>
        <w:t>e.g., oxybutynin, benztropine, diphenhydramine, orphenadrine,  etc.)</w:t>
      </w:r>
    </w:p>
    <w:p>
      <w:pPr>
        <w:pStyle w:val="ListParagraph"/>
        <w:numPr>
          <w:ilvl w:val="0"/>
          <w:numId w:val="1"/>
        </w:numPr>
        <w:tabs>
          <w:tab w:pos="475" w:val="left" w:leader="none"/>
        </w:tabs>
        <w:spacing w:line="240" w:lineRule="auto" w:before="0" w:after="0"/>
        <w:ind w:left="474" w:right="0" w:hanging="167"/>
        <w:jc w:val="left"/>
        <w:rPr>
          <w:sz w:val="16"/>
        </w:rPr>
      </w:pPr>
      <w:r>
        <w:rPr>
          <w:sz w:val="16"/>
        </w:rPr>
        <w:t>10-min active stand test or head-up tilt </w:t>
      </w:r>
      <w:r>
        <w:rPr>
          <w:spacing w:val="32"/>
          <w:sz w:val="16"/>
        </w:rPr>
        <w:t> </w:t>
      </w:r>
      <w:r>
        <w:rPr>
          <w:sz w:val="16"/>
        </w:rPr>
        <w:t>test:</w:t>
      </w:r>
    </w:p>
    <w:p>
      <w:pPr>
        <w:pStyle w:val="ListParagraph"/>
        <w:numPr>
          <w:ilvl w:val="1"/>
          <w:numId w:val="1"/>
        </w:numPr>
        <w:tabs>
          <w:tab w:pos="609" w:val="left" w:leader="none"/>
        </w:tabs>
        <w:spacing w:line="240" w:lineRule="auto" w:before="40" w:after="0"/>
        <w:ind w:left="608" w:right="0" w:hanging="132"/>
        <w:jc w:val="left"/>
        <w:rPr>
          <w:sz w:val="16"/>
        </w:rPr>
      </w:pPr>
      <w:r>
        <w:rPr>
          <w:sz w:val="16"/>
        </w:rPr>
        <w:t>A</w:t>
      </w:r>
      <w:r>
        <w:rPr>
          <w:spacing w:val="14"/>
          <w:sz w:val="16"/>
        </w:rPr>
        <w:t> </w:t>
      </w:r>
      <w:r>
        <w:rPr>
          <w:sz w:val="16"/>
        </w:rPr>
        <w:t>sustained</w:t>
      </w:r>
      <w:r>
        <w:rPr>
          <w:spacing w:val="16"/>
          <w:sz w:val="16"/>
        </w:rPr>
        <w:t> </w:t>
      </w:r>
      <w:r>
        <w:rPr>
          <w:sz w:val="16"/>
        </w:rPr>
        <w:t>heart</w:t>
      </w:r>
      <w:r>
        <w:rPr>
          <w:spacing w:val="15"/>
          <w:sz w:val="16"/>
        </w:rPr>
        <w:t> </w:t>
      </w:r>
      <w:r>
        <w:rPr>
          <w:sz w:val="16"/>
        </w:rPr>
        <w:t>rate</w:t>
      </w:r>
      <w:r>
        <w:rPr>
          <w:spacing w:val="15"/>
          <w:sz w:val="16"/>
        </w:rPr>
        <w:t> </w:t>
      </w:r>
      <w:r>
        <w:rPr>
          <w:sz w:val="16"/>
        </w:rPr>
        <w:t>increase</w:t>
      </w:r>
      <w:r>
        <w:rPr>
          <w:spacing w:val="16"/>
          <w:sz w:val="16"/>
        </w:rPr>
        <w:t> </w:t>
      </w:r>
      <w:r>
        <w:rPr>
          <w:sz w:val="16"/>
        </w:rPr>
        <w:t>of</w:t>
      </w:r>
      <w:r>
        <w:rPr>
          <w:spacing w:val="15"/>
          <w:sz w:val="16"/>
        </w:rPr>
        <w:t> </w:t>
      </w:r>
      <w:r>
        <w:rPr>
          <w:rFonts w:ascii="Arial" w:hAnsi="Arial"/>
          <w:sz w:val="16"/>
        </w:rPr>
        <w:t>≥</w:t>
      </w:r>
      <w:r>
        <w:rPr>
          <w:sz w:val="16"/>
        </w:rPr>
        <w:t>30</w:t>
      </w:r>
      <w:r>
        <w:rPr>
          <w:spacing w:val="15"/>
          <w:sz w:val="16"/>
        </w:rPr>
        <w:t> </w:t>
      </w:r>
      <w:r>
        <w:rPr>
          <w:sz w:val="16"/>
        </w:rPr>
        <w:t>bpm</w:t>
      </w:r>
      <w:r>
        <w:rPr>
          <w:spacing w:val="15"/>
          <w:sz w:val="16"/>
        </w:rPr>
        <w:t> </w:t>
      </w:r>
      <w:r>
        <w:rPr>
          <w:sz w:val="16"/>
        </w:rPr>
        <w:t>(</w:t>
      </w:r>
      <w:r>
        <w:rPr>
          <w:rFonts w:ascii="Arial" w:hAnsi="Arial"/>
          <w:sz w:val="16"/>
        </w:rPr>
        <w:t>≥</w:t>
      </w:r>
      <w:r>
        <w:rPr>
          <w:sz w:val="16"/>
        </w:rPr>
        <w:t>40</w:t>
      </w:r>
      <w:r>
        <w:rPr>
          <w:spacing w:val="15"/>
          <w:sz w:val="16"/>
        </w:rPr>
        <w:t> </w:t>
      </w:r>
      <w:r>
        <w:rPr>
          <w:sz w:val="16"/>
        </w:rPr>
        <w:t>bpm</w:t>
      </w:r>
      <w:r>
        <w:rPr>
          <w:spacing w:val="14"/>
          <w:sz w:val="16"/>
        </w:rPr>
        <w:t> </w:t>
      </w:r>
      <w:r>
        <w:rPr>
          <w:sz w:val="16"/>
        </w:rPr>
        <w:t>for</w:t>
      </w:r>
      <w:r>
        <w:rPr>
          <w:spacing w:val="16"/>
          <w:sz w:val="16"/>
        </w:rPr>
        <w:t> </w:t>
      </w:r>
      <w:r>
        <w:rPr>
          <w:sz w:val="16"/>
        </w:rPr>
        <w:t>those</w:t>
      </w:r>
      <w:r>
        <w:rPr>
          <w:spacing w:val="15"/>
          <w:sz w:val="16"/>
        </w:rPr>
        <w:t> </w:t>
      </w:r>
      <w:r>
        <w:rPr>
          <w:sz w:val="16"/>
        </w:rPr>
        <w:t>aged</w:t>
      </w:r>
      <w:r>
        <w:rPr>
          <w:spacing w:val="15"/>
          <w:sz w:val="16"/>
        </w:rPr>
        <w:t> </w:t>
      </w:r>
      <w:r>
        <w:rPr>
          <w:sz w:val="16"/>
        </w:rPr>
        <w:t>12–19</w:t>
      </w:r>
      <w:r>
        <w:rPr>
          <w:spacing w:val="15"/>
          <w:sz w:val="16"/>
        </w:rPr>
        <w:t> </w:t>
      </w:r>
      <w:r>
        <w:rPr>
          <w:sz w:val="16"/>
        </w:rPr>
        <w:t>years)</w:t>
      </w:r>
    </w:p>
    <w:p>
      <w:pPr>
        <w:pStyle w:val="ListParagraph"/>
        <w:numPr>
          <w:ilvl w:val="1"/>
          <w:numId w:val="1"/>
        </w:numPr>
        <w:tabs>
          <w:tab w:pos="609" w:val="left" w:leader="none"/>
        </w:tabs>
        <w:spacing w:line="288" w:lineRule="auto" w:before="40" w:after="0"/>
        <w:ind w:left="608" w:right="0" w:hanging="132"/>
        <w:jc w:val="left"/>
        <w:rPr>
          <w:sz w:val="16"/>
        </w:rPr>
      </w:pPr>
      <w:r>
        <w:rPr>
          <w:sz w:val="16"/>
        </w:rPr>
        <w:t>No sustained drop in systolic blood pressure of </w:t>
      </w:r>
      <w:r>
        <w:rPr>
          <w:rFonts w:ascii="Arial" w:hAnsi="Arial"/>
          <w:sz w:val="16"/>
        </w:rPr>
        <w:t>≥</w:t>
      </w:r>
      <w:r>
        <w:rPr>
          <w:sz w:val="16"/>
        </w:rPr>
        <w:t>20 mmHg or diastolic blood pressure of </w:t>
      </w:r>
      <w:r>
        <w:rPr>
          <w:rFonts w:ascii="Arial" w:hAnsi="Arial"/>
          <w:sz w:val="16"/>
        </w:rPr>
        <w:t>≥</w:t>
      </w:r>
      <w:r>
        <w:rPr>
          <w:sz w:val="16"/>
        </w:rPr>
        <w:t>10 mmHg within the first 3  </w:t>
      </w:r>
      <w:r>
        <w:rPr>
          <w:spacing w:val="26"/>
          <w:sz w:val="16"/>
        </w:rPr>
        <w:t> </w:t>
      </w:r>
      <w:r>
        <w:rPr>
          <w:sz w:val="16"/>
        </w:rPr>
        <w:t>minutes</w:t>
      </w:r>
    </w:p>
    <w:p>
      <w:pPr>
        <w:spacing w:before="0"/>
        <w:ind w:left="306" w:right="0" w:firstLine="0"/>
        <w:jc w:val="left"/>
        <w:rPr>
          <w:sz w:val="16"/>
        </w:rPr>
      </w:pPr>
      <w:r>
        <w:rPr>
          <w:sz w:val="16"/>
        </w:rPr>
        <w:t>Practical tips:</w:t>
      </w:r>
    </w:p>
    <w:p>
      <w:pPr>
        <w:spacing w:before="40"/>
        <w:ind w:left="307" w:right="0" w:firstLine="0"/>
        <w:jc w:val="left"/>
        <w:rPr>
          <w:sz w:val="16"/>
        </w:rPr>
      </w:pPr>
      <w:r>
        <w:rPr>
          <w:sz w:val="16"/>
        </w:rPr>
        <w:t>#  Sustained is defined as at least two measurements at least 1 min   apart.</w:t>
      </w:r>
    </w:p>
    <w:p>
      <w:pPr>
        <w:spacing w:before="39"/>
        <w:ind w:left="307" w:right="0" w:firstLine="0"/>
        <w:jc w:val="left"/>
        <w:rPr>
          <w:sz w:val="16"/>
        </w:rPr>
      </w:pPr>
      <w:r>
        <w:rPr>
          <w:sz w:val="16"/>
        </w:rPr>
        <w:t>#  Best performed in the morning due to diurnal variation in haemodynamic   changes.</w:t>
      </w:r>
    </w:p>
    <w:p>
      <w:pPr>
        <w:pStyle w:val="ListParagraph"/>
        <w:numPr>
          <w:ilvl w:val="0"/>
          <w:numId w:val="2"/>
        </w:numPr>
        <w:tabs>
          <w:tab w:pos="523" w:val="left" w:leader="none"/>
        </w:tabs>
        <w:spacing w:line="240" w:lineRule="auto" w:before="100" w:after="0"/>
        <w:ind w:left="522" w:right="0" w:hanging="222"/>
        <w:jc w:val="left"/>
        <w:rPr>
          <w:sz w:val="16"/>
        </w:rPr>
      </w:pPr>
      <w:r>
        <w:rPr>
          <w:w w:val="99"/>
          <w:sz w:val="16"/>
        </w:rPr>
        <w:br w:type="column"/>
      </w:r>
      <w:r>
        <w:rPr>
          <w:sz w:val="16"/>
        </w:rPr>
        <w:t>Headache</w:t>
      </w:r>
    </w:p>
    <w:p>
      <w:pPr>
        <w:pStyle w:val="ListParagraph"/>
        <w:numPr>
          <w:ilvl w:val="0"/>
          <w:numId w:val="2"/>
        </w:numPr>
        <w:tabs>
          <w:tab w:pos="523" w:val="left" w:leader="none"/>
        </w:tabs>
        <w:spacing w:line="240" w:lineRule="auto" w:before="7" w:after="0"/>
        <w:ind w:left="522" w:right="0" w:hanging="222"/>
        <w:jc w:val="left"/>
        <w:rPr>
          <w:sz w:val="16"/>
        </w:rPr>
      </w:pPr>
      <w:r>
        <w:rPr>
          <w:sz w:val="16"/>
        </w:rPr>
        <w:t>Fatigue</w:t>
      </w:r>
    </w:p>
    <w:p>
      <w:pPr>
        <w:pStyle w:val="ListParagraph"/>
        <w:numPr>
          <w:ilvl w:val="0"/>
          <w:numId w:val="2"/>
        </w:numPr>
        <w:tabs>
          <w:tab w:pos="523" w:val="left" w:leader="none"/>
        </w:tabs>
        <w:spacing w:line="240" w:lineRule="auto" w:before="7" w:after="0"/>
        <w:ind w:left="522" w:right="0" w:hanging="222"/>
        <w:jc w:val="left"/>
        <w:rPr>
          <w:sz w:val="16"/>
        </w:rPr>
      </w:pPr>
      <w:r>
        <w:rPr>
          <w:sz w:val="16"/>
        </w:rPr>
        <w:t>Brain fog – poor  cognition</w:t>
      </w:r>
    </w:p>
    <w:p>
      <w:pPr>
        <w:pStyle w:val="ListParagraph"/>
        <w:numPr>
          <w:ilvl w:val="0"/>
          <w:numId w:val="2"/>
        </w:numPr>
        <w:tabs>
          <w:tab w:pos="523" w:val="left" w:leader="none"/>
        </w:tabs>
        <w:spacing w:line="240" w:lineRule="auto" w:before="7" w:after="0"/>
        <w:ind w:left="522" w:right="0" w:hanging="222"/>
        <w:jc w:val="left"/>
        <w:rPr>
          <w:sz w:val="16"/>
        </w:rPr>
      </w:pPr>
      <w:r>
        <w:rPr>
          <w:sz w:val="16"/>
        </w:rPr>
        <w:t>Exercise</w:t>
      </w:r>
      <w:r>
        <w:rPr>
          <w:spacing w:val="6"/>
          <w:sz w:val="16"/>
        </w:rPr>
        <w:t> </w:t>
      </w:r>
      <w:r>
        <w:rPr>
          <w:sz w:val="16"/>
        </w:rPr>
        <w:t>intolerance</w:t>
      </w:r>
    </w:p>
    <w:p>
      <w:pPr>
        <w:pStyle w:val="ListParagraph"/>
        <w:numPr>
          <w:ilvl w:val="0"/>
          <w:numId w:val="2"/>
        </w:numPr>
        <w:tabs>
          <w:tab w:pos="523" w:val="left" w:leader="none"/>
        </w:tabs>
        <w:spacing w:line="240" w:lineRule="auto" w:before="7" w:after="0"/>
        <w:ind w:left="522" w:right="0" w:hanging="222"/>
        <w:jc w:val="left"/>
        <w:rPr>
          <w:sz w:val="16"/>
        </w:rPr>
      </w:pPr>
      <w:r>
        <w:rPr>
          <w:sz w:val="16"/>
        </w:rPr>
        <w:t>Sleep</w:t>
      </w:r>
      <w:r>
        <w:rPr>
          <w:spacing w:val="7"/>
          <w:sz w:val="16"/>
        </w:rPr>
        <w:t> </w:t>
      </w:r>
      <w:r>
        <w:rPr>
          <w:sz w:val="16"/>
        </w:rPr>
        <w:t>disturbances</w:t>
      </w:r>
    </w:p>
    <w:p>
      <w:pPr>
        <w:pStyle w:val="ListParagraph"/>
        <w:numPr>
          <w:ilvl w:val="0"/>
          <w:numId w:val="2"/>
        </w:numPr>
        <w:tabs>
          <w:tab w:pos="523" w:val="left" w:leader="none"/>
        </w:tabs>
        <w:spacing w:line="240" w:lineRule="auto" w:before="7" w:after="0"/>
        <w:ind w:left="522" w:right="0" w:hanging="222"/>
        <w:jc w:val="left"/>
        <w:rPr>
          <w:sz w:val="16"/>
        </w:rPr>
      </w:pPr>
      <w:r>
        <w:rPr>
          <w:sz w:val="16"/>
        </w:rPr>
        <w:t>Chest</w:t>
      </w:r>
      <w:r>
        <w:rPr>
          <w:spacing w:val="6"/>
          <w:sz w:val="16"/>
        </w:rPr>
        <w:t> </w:t>
      </w:r>
      <w:r>
        <w:rPr>
          <w:sz w:val="16"/>
        </w:rPr>
        <w:t>discomfort</w:t>
      </w:r>
    </w:p>
    <w:p>
      <w:pPr>
        <w:pStyle w:val="ListParagraph"/>
        <w:numPr>
          <w:ilvl w:val="0"/>
          <w:numId w:val="2"/>
        </w:numPr>
        <w:tabs>
          <w:tab w:pos="523" w:val="left" w:leader="none"/>
        </w:tabs>
        <w:spacing w:line="240" w:lineRule="auto" w:before="7" w:after="0"/>
        <w:ind w:left="522" w:right="0" w:hanging="222"/>
        <w:jc w:val="left"/>
        <w:rPr>
          <w:sz w:val="16"/>
        </w:rPr>
      </w:pPr>
      <w:r>
        <w:rPr>
          <w:sz w:val="16"/>
        </w:rPr>
        <w:t>Dyspnoea</w:t>
      </w:r>
    </w:p>
    <w:p>
      <w:pPr>
        <w:pStyle w:val="ListParagraph"/>
        <w:numPr>
          <w:ilvl w:val="0"/>
          <w:numId w:val="2"/>
        </w:numPr>
        <w:tabs>
          <w:tab w:pos="523" w:val="left" w:leader="none"/>
        </w:tabs>
        <w:spacing w:line="240" w:lineRule="auto" w:before="6" w:after="0"/>
        <w:ind w:left="522" w:right="0" w:hanging="222"/>
        <w:jc w:val="left"/>
        <w:rPr>
          <w:sz w:val="16"/>
        </w:rPr>
      </w:pPr>
      <w:r>
        <w:rPr>
          <w:sz w:val="16"/>
        </w:rPr>
        <w:t>Nausea</w:t>
      </w:r>
    </w:p>
    <w:p>
      <w:pPr>
        <w:pStyle w:val="ListParagraph"/>
        <w:numPr>
          <w:ilvl w:val="0"/>
          <w:numId w:val="2"/>
        </w:numPr>
        <w:tabs>
          <w:tab w:pos="523" w:val="left" w:leader="none"/>
        </w:tabs>
        <w:spacing w:line="240" w:lineRule="auto" w:before="7" w:after="0"/>
        <w:ind w:left="522" w:right="0" w:hanging="222"/>
        <w:jc w:val="left"/>
        <w:rPr>
          <w:sz w:val="16"/>
        </w:rPr>
      </w:pPr>
      <w:r>
        <w:rPr>
          <w:sz w:val="16"/>
        </w:rPr>
        <w:t>Bloating</w:t>
      </w:r>
    </w:p>
    <w:p>
      <w:pPr>
        <w:pStyle w:val="ListParagraph"/>
        <w:numPr>
          <w:ilvl w:val="0"/>
          <w:numId w:val="2"/>
        </w:numPr>
        <w:tabs>
          <w:tab w:pos="523" w:val="left" w:leader="none"/>
        </w:tabs>
        <w:spacing w:line="240" w:lineRule="auto" w:before="7" w:after="0"/>
        <w:ind w:left="522" w:right="0" w:hanging="222"/>
        <w:jc w:val="left"/>
        <w:rPr>
          <w:sz w:val="16"/>
        </w:rPr>
      </w:pPr>
      <w:r>
        <w:rPr>
          <w:sz w:val="16"/>
        </w:rPr>
        <w:t>Constipation &amp;</w:t>
      </w:r>
      <w:r>
        <w:rPr>
          <w:spacing w:val="17"/>
          <w:sz w:val="16"/>
        </w:rPr>
        <w:t> </w:t>
      </w:r>
      <w:r>
        <w:rPr>
          <w:sz w:val="16"/>
        </w:rPr>
        <w:t>diarrhoea</w:t>
      </w:r>
    </w:p>
    <w:p>
      <w:pPr>
        <w:pStyle w:val="ListParagraph"/>
        <w:numPr>
          <w:ilvl w:val="0"/>
          <w:numId w:val="2"/>
        </w:numPr>
        <w:tabs>
          <w:tab w:pos="523" w:val="left" w:leader="none"/>
        </w:tabs>
        <w:spacing w:line="240" w:lineRule="auto" w:before="7" w:after="0"/>
        <w:ind w:left="522" w:right="0" w:hanging="222"/>
        <w:jc w:val="left"/>
        <w:rPr>
          <w:sz w:val="16"/>
        </w:rPr>
      </w:pPr>
      <w:r>
        <w:rPr>
          <w:sz w:val="16"/>
        </w:rPr>
        <w:t>Abdominal</w:t>
      </w:r>
      <w:r>
        <w:rPr>
          <w:spacing w:val="6"/>
          <w:sz w:val="16"/>
        </w:rPr>
        <w:t> </w:t>
      </w:r>
      <w:r>
        <w:rPr>
          <w:sz w:val="16"/>
        </w:rPr>
        <w:t>discomfort</w:t>
      </w:r>
    </w:p>
    <w:p>
      <w:pPr>
        <w:pStyle w:val="ListParagraph"/>
        <w:numPr>
          <w:ilvl w:val="0"/>
          <w:numId w:val="2"/>
        </w:numPr>
        <w:tabs>
          <w:tab w:pos="523" w:val="left" w:leader="none"/>
        </w:tabs>
        <w:spacing w:line="240" w:lineRule="auto" w:before="7" w:after="0"/>
        <w:ind w:left="522" w:right="0" w:hanging="222"/>
        <w:jc w:val="left"/>
        <w:rPr>
          <w:sz w:val="16"/>
        </w:rPr>
      </w:pPr>
      <w:r>
        <w:rPr>
          <w:sz w:val="16"/>
        </w:rPr>
        <w:t>Peripheral</w:t>
      </w:r>
      <w:r>
        <w:rPr>
          <w:spacing w:val="5"/>
          <w:sz w:val="16"/>
        </w:rPr>
        <w:t> </w:t>
      </w:r>
      <w:r>
        <w:rPr>
          <w:sz w:val="16"/>
        </w:rPr>
        <w:t>acrocyanosis</w:t>
      </w:r>
    </w:p>
    <w:p>
      <w:pPr>
        <w:spacing w:after="0" w:line="240" w:lineRule="auto"/>
        <w:jc w:val="left"/>
        <w:rPr>
          <w:sz w:val="16"/>
        </w:rPr>
        <w:sectPr>
          <w:type w:val="continuous"/>
          <w:pgSz w:w="11910" w:h="15880"/>
          <w:pgMar w:top="660" w:bottom="280" w:left="780" w:right="840"/>
          <w:cols w:num="2" w:equalWidth="0">
            <w:col w:w="6762" w:space="40"/>
            <w:col w:w="3488"/>
          </w:cols>
        </w:sectPr>
      </w:pPr>
    </w:p>
    <w:p>
      <w:pPr>
        <w:spacing w:before="40"/>
        <w:ind w:left="307" w:right="0" w:firstLine="0"/>
        <w:jc w:val="left"/>
        <w:rPr>
          <w:sz w:val="16"/>
        </w:rPr>
      </w:pPr>
      <w:r>
        <w:rPr>
          <w:sz w:val="16"/>
        </w:rPr>
        <w:t># Active stand test is usually sufficient unless high risk of falls and inability to stand unassisted where head-up tilt test is needed.</w:t>
      </w:r>
    </w:p>
    <w:p>
      <w:pPr>
        <w:spacing w:before="40"/>
        <w:ind w:left="307" w:right="0" w:firstLine="0"/>
        <w:jc w:val="left"/>
        <w:rPr>
          <w:sz w:val="16"/>
        </w:rPr>
      </w:pPr>
      <w:r>
        <w:rPr>
          <w:sz w:val="16"/>
        </w:rPr>
        <w:t>#  A single negative test does not exclude the diagnosis of   POTS.</w:t>
      </w:r>
    </w:p>
    <w:p>
      <w:pPr>
        <w:spacing w:before="40"/>
        <w:ind w:left="307" w:right="0" w:firstLine="0"/>
        <w:jc w:val="left"/>
        <w:rPr>
          <w:sz w:val="16"/>
        </w:rPr>
      </w:pPr>
      <w:r>
        <w:rPr>
          <w:sz w:val="16"/>
        </w:rPr>
        <w:t>#  Patients should not be taking medications that may confound the haemodynamic   changes.</w:t>
      </w:r>
    </w:p>
    <w:p>
      <w:pPr>
        <w:pStyle w:val="BodyText"/>
        <w:spacing w:before="7"/>
        <w:rPr>
          <w:sz w:val="23"/>
        </w:rPr>
      </w:pPr>
    </w:p>
    <w:p>
      <w:pPr>
        <w:spacing w:before="0"/>
        <w:ind w:left="225" w:right="0" w:firstLine="0"/>
        <w:jc w:val="left"/>
        <w:rPr>
          <w:sz w:val="14"/>
        </w:rPr>
      </w:pPr>
      <w:r>
        <w:rPr>
          <w:sz w:val="14"/>
        </w:rPr>
        <w:t>Abbreviation: POTS, postural orthostatic tachycardia  syndrome.</w:t>
      </w:r>
    </w:p>
    <w:p>
      <w:pPr>
        <w:spacing w:after="0"/>
        <w:jc w:val="left"/>
        <w:rPr>
          <w:sz w:val="14"/>
        </w:rPr>
        <w:sectPr>
          <w:type w:val="continuous"/>
          <w:pgSz w:w="11910" w:h="15880"/>
          <w:pgMar w:top="660" w:bottom="280" w:left="780" w:right="840"/>
        </w:sectPr>
      </w:pPr>
    </w:p>
    <w:p>
      <w:pPr>
        <w:pStyle w:val="BodyText"/>
        <w:rPr>
          <w:sz w:val="20"/>
        </w:rPr>
      </w:pPr>
    </w:p>
    <w:p>
      <w:pPr>
        <w:pStyle w:val="BodyText"/>
        <w:spacing w:before="12"/>
        <w:rPr>
          <w:sz w:val="16"/>
        </w:rPr>
      </w:pPr>
    </w:p>
    <w:p>
      <w:pPr>
        <w:pStyle w:val="BodyText"/>
        <w:ind w:left="116"/>
        <w:rPr>
          <w:sz w:val="20"/>
        </w:rPr>
      </w:pPr>
      <w:r>
        <w:rPr>
          <w:sz w:val="20"/>
        </w:rPr>
        <w:pict>
          <v:group style="width:503.15pt;height:352.5pt;mso-position-horizontal-relative:char;mso-position-vertical-relative:line" coordorigin="0,0" coordsize="10063,7050">
            <v:rect style="position:absolute;left:0;top:0;width:10062;height:214" filled="true" fillcolor="#f5f4ea" stroked="false">
              <v:fill type="solid"/>
            </v:rect>
            <v:rect style="position:absolute;left:0;top:214;width:10062;height:5225" filled="true" fillcolor="#f5f4ea" stroked="false">
              <v:fill type="solid"/>
            </v:rect>
            <v:rect style="position:absolute;left:179;top:5440;width:9704;height:116" filled="true" fillcolor="#f5f4ea" stroked="false">
              <v:fill type="solid"/>
            </v:rect>
            <v:rect style="position:absolute;left:179;top:5555;width:9704;height:219" filled="true" fillcolor="#f5f4ea" stroked="false">
              <v:fill type="solid"/>
            </v:rect>
            <v:rect style="position:absolute;left:179;top:5774;width:9704;height:219" filled="true" fillcolor="#f5f4ea" stroked="false">
              <v:fill type="solid"/>
            </v:rect>
            <v:rect style="position:absolute;left:179;top:5993;width:9704;height:219" filled="true" fillcolor="#f5f4ea" stroked="false">
              <v:fill type="solid"/>
            </v:rect>
            <v:rect style="position:absolute;left:179;top:6213;width:9704;height:219" filled="true" fillcolor="#f5f4ea" stroked="false">
              <v:fill type="solid"/>
            </v:rect>
            <v:rect style="position:absolute;left:179;top:6432;width:9704;height:219" filled="true" fillcolor="#f5f4ea" stroked="false">
              <v:fill type="solid"/>
            </v:rect>
            <v:rect style="position:absolute;left:179;top:6651;width:9704;height:219" filled="true" fillcolor="#f5f4ea" stroked="false">
              <v:fill type="solid"/>
            </v:rect>
            <v:rect style="position:absolute;left:9883;top:5440;width:179;height:116" filled="true" fillcolor="#f5f4ea" stroked="false">
              <v:fill type="solid"/>
            </v:rect>
            <v:rect style="position:absolute;left:0;top:5440;width:179;height:116" filled="true" fillcolor="#f5f4ea" stroked="false">
              <v:fill type="solid"/>
            </v:rect>
            <v:rect style="position:absolute;left:179;top:5336;width:9704;height:104" filled="true" fillcolor="#f5f4ea" stroked="false">
              <v:fill type="solid"/>
            </v:rect>
            <v:rect style="position:absolute;left:9883;top:5555;width:179;height:219" filled="true" fillcolor="#f5f4ea" stroked="false">
              <v:fill type="solid"/>
            </v:rect>
            <v:rect style="position:absolute;left:0;top:5555;width:179;height:219" filled="true" fillcolor="#f5f4ea" stroked="false">
              <v:fill type="solid"/>
            </v:rect>
            <v:rect style="position:absolute;left:9883;top:5774;width:179;height:219" filled="true" fillcolor="#f5f4ea" stroked="false">
              <v:fill type="solid"/>
            </v:rect>
            <v:rect style="position:absolute;left:0;top:5774;width:179;height:219" filled="true" fillcolor="#f5f4ea" stroked="false">
              <v:fill type="solid"/>
            </v:rect>
            <v:rect style="position:absolute;left:9883;top:5993;width:179;height:219" filled="true" fillcolor="#f5f4ea" stroked="false">
              <v:fill type="solid"/>
            </v:rect>
            <v:rect style="position:absolute;left:0;top:5993;width:179;height:219" filled="true" fillcolor="#f5f4ea" stroked="false">
              <v:fill type="solid"/>
            </v:rect>
            <v:rect style="position:absolute;left:9883;top:6213;width:179;height:219" filled="true" fillcolor="#f5f4ea" stroked="false">
              <v:fill type="solid"/>
            </v:rect>
            <v:rect style="position:absolute;left:0;top:6213;width:179;height:219" filled="true" fillcolor="#f5f4ea" stroked="false">
              <v:fill type="solid"/>
            </v:rect>
            <v:rect style="position:absolute;left:9883;top:6432;width:179;height:219" filled="true" fillcolor="#f5f4ea" stroked="false">
              <v:fill type="solid"/>
            </v:rect>
            <v:rect style="position:absolute;left:0;top:6432;width:179;height:219" filled="true" fillcolor="#f5f4ea" stroked="false">
              <v:fill type="solid"/>
            </v:rect>
            <v:rect style="position:absolute;left:9883;top:6651;width:179;height:399" filled="true" fillcolor="#f5f4ea" stroked="false">
              <v:fill type="solid"/>
            </v:rect>
            <v:rect style="position:absolute;left:0;top:6651;width:179;height:399" filled="true" fillcolor="#f5f4ea" stroked="false">
              <v:fill type="solid"/>
            </v:rect>
            <v:rect style="position:absolute;left:179;top:6870;width:9704;height:179" filled="true" fillcolor="#f5f4ea" stroked="false">
              <v:fill type="solid"/>
            </v:rect>
            <v:shape style="position:absolute;left:480;top:215;width:9100;height:5046" type="#_x0000_t75" stroked="false">
              <v:imagedata r:id="rId19" o:title=""/>
            </v:shape>
            <v:shape style="position:absolute;left:0;top:0;width:10063;height:7050" type="#_x0000_t202" filled="false" stroked="false">
              <v:textbox inset="0,0,0,0">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35" w:lineRule="auto" w:before="191"/>
                      <w:ind w:left="179" w:right="177" w:firstLine="0"/>
                      <w:jc w:val="both"/>
                      <w:rPr>
                        <w:sz w:val="18"/>
                      </w:rPr>
                    </w:pPr>
                    <w:bookmarkStart w:name="Pathophysiology of POTS" w:id="20"/>
                    <w:bookmarkEnd w:id="20"/>
                    <w:r>
                      <w:rPr/>
                    </w:r>
                    <w:bookmarkStart w:name="_bookmark17" w:id="21"/>
                    <w:bookmarkEnd w:id="21"/>
                    <w:r>
                      <w:rPr/>
                    </w:r>
                    <w:r>
                      <w:rPr>
                        <w:b/>
                        <w:color w:val="E53527"/>
                        <w:sz w:val="18"/>
                      </w:rPr>
                      <w:t>Figure 1 </w:t>
                    </w:r>
                    <w:r>
                      <w:rPr>
                        <w:sz w:val="18"/>
                      </w:rPr>
                      <w:t>Different types of cardiovascular autonomic dysfunction with proposed aetiology and pathophysiology of POTS. Two major types of cardiovascular autonomic dysfunction, general and local, usually overlap. General circulatory dis- orders</w:t>
                    </w:r>
                    <w:r>
                      <w:rPr>
                        <w:spacing w:val="-3"/>
                        <w:sz w:val="18"/>
                      </w:rPr>
                      <w:t> </w:t>
                    </w:r>
                    <w:r>
                      <w:rPr>
                        <w:sz w:val="18"/>
                      </w:rPr>
                      <w:t>may</w:t>
                    </w:r>
                    <w:r>
                      <w:rPr>
                        <w:spacing w:val="-3"/>
                        <w:sz w:val="18"/>
                      </w:rPr>
                      <w:t> </w:t>
                    </w:r>
                    <w:r>
                      <w:rPr>
                        <w:sz w:val="18"/>
                      </w:rPr>
                      <w:t>mainly</w:t>
                    </w:r>
                    <w:r>
                      <w:rPr>
                        <w:spacing w:val="-3"/>
                        <w:sz w:val="18"/>
                      </w:rPr>
                      <w:t> </w:t>
                    </w:r>
                    <w:r>
                      <w:rPr>
                        <w:sz w:val="18"/>
                      </w:rPr>
                      <w:t>affect</w:t>
                    </w:r>
                    <w:r>
                      <w:rPr>
                        <w:spacing w:val="-3"/>
                        <w:sz w:val="18"/>
                      </w:rPr>
                      <w:t> </w:t>
                    </w:r>
                    <w:r>
                      <w:rPr>
                        <w:sz w:val="18"/>
                      </w:rPr>
                      <w:t>heart</w:t>
                    </w:r>
                    <w:r>
                      <w:rPr>
                        <w:spacing w:val="-3"/>
                        <w:sz w:val="18"/>
                      </w:rPr>
                      <w:t> </w:t>
                    </w:r>
                    <w:r>
                      <w:rPr>
                        <w:sz w:val="18"/>
                      </w:rPr>
                      <w:t>rate</w:t>
                    </w:r>
                    <w:r>
                      <w:rPr>
                        <w:spacing w:val="-3"/>
                        <w:sz w:val="18"/>
                      </w:rPr>
                      <w:t> </w:t>
                    </w:r>
                    <w:r>
                      <w:rPr>
                        <w:sz w:val="18"/>
                      </w:rPr>
                      <w:t>or</w:t>
                    </w:r>
                    <w:r>
                      <w:rPr>
                        <w:spacing w:val="-3"/>
                        <w:sz w:val="18"/>
                      </w:rPr>
                      <w:t> </w:t>
                    </w:r>
                    <w:r>
                      <w:rPr>
                        <w:sz w:val="18"/>
                      </w:rPr>
                      <w:t>blood</w:t>
                    </w:r>
                    <w:r>
                      <w:rPr>
                        <w:spacing w:val="-3"/>
                        <w:sz w:val="18"/>
                      </w:rPr>
                      <w:t> </w:t>
                    </w:r>
                    <w:r>
                      <w:rPr>
                        <w:sz w:val="18"/>
                      </w:rPr>
                      <w:t>pressure</w:t>
                    </w:r>
                    <w:r>
                      <w:rPr>
                        <w:spacing w:val="-3"/>
                        <w:sz w:val="18"/>
                      </w:rPr>
                      <w:t> </w:t>
                    </w:r>
                    <w:r>
                      <w:rPr>
                        <w:sz w:val="18"/>
                      </w:rPr>
                      <w:t>control.</w:t>
                    </w:r>
                    <w:r>
                      <w:rPr>
                        <w:spacing w:val="-3"/>
                        <w:sz w:val="18"/>
                      </w:rPr>
                      <w:t> </w:t>
                    </w:r>
                    <w:r>
                      <w:rPr>
                        <w:sz w:val="18"/>
                      </w:rPr>
                      <w:t>Microvascular</w:t>
                    </w:r>
                    <w:r>
                      <w:rPr>
                        <w:spacing w:val="-2"/>
                        <w:sz w:val="18"/>
                      </w:rPr>
                      <w:t> </w:t>
                    </w:r>
                    <w:r>
                      <w:rPr>
                        <w:sz w:val="18"/>
                      </w:rPr>
                      <w:t>dysfunction</w:t>
                    </w:r>
                    <w:r>
                      <w:rPr>
                        <w:spacing w:val="-3"/>
                        <w:sz w:val="18"/>
                      </w:rPr>
                      <w:t> </w:t>
                    </w:r>
                    <w:r>
                      <w:rPr>
                        <w:sz w:val="18"/>
                      </w:rPr>
                      <w:t>may</w:t>
                    </w:r>
                    <w:r>
                      <w:rPr>
                        <w:spacing w:val="-3"/>
                        <w:sz w:val="18"/>
                      </w:rPr>
                      <w:t> </w:t>
                    </w:r>
                    <w:r>
                      <w:rPr>
                        <w:sz w:val="18"/>
                      </w:rPr>
                      <w:t>lead</w:t>
                    </w:r>
                    <w:r>
                      <w:rPr>
                        <w:spacing w:val="-3"/>
                        <w:sz w:val="18"/>
                      </w:rPr>
                      <w:t> </w:t>
                    </w:r>
                    <w:r>
                      <w:rPr>
                        <w:sz w:val="18"/>
                      </w:rPr>
                      <w:t>to</w:t>
                    </w:r>
                    <w:r>
                      <w:rPr>
                        <w:spacing w:val="-3"/>
                        <w:sz w:val="18"/>
                      </w:rPr>
                      <w:t> </w:t>
                    </w:r>
                    <w:r>
                      <w:rPr>
                        <w:sz w:val="18"/>
                      </w:rPr>
                      <w:t>localised</w:t>
                    </w:r>
                    <w:r>
                      <w:rPr>
                        <w:spacing w:val="-3"/>
                        <w:sz w:val="18"/>
                      </w:rPr>
                      <w:t> </w:t>
                    </w:r>
                    <w:r>
                      <w:rPr>
                        <w:sz w:val="18"/>
                      </w:rPr>
                      <w:t>symptoms, such</w:t>
                    </w:r>
                    <w:r>
                      <w:rPr>
                        <w:spacing w:val="-5"/>
                        <w:sz w:val="18"/>
                      </w:rPr>
                      <w:t> </w:t>
                    </w:r>
                    <w:r>
                      <w:rPr>
                        <w:sz w:val="18"/>
                      </w:rPr>
                      <w:t>as</w:t>
                    </w:r>
                    <w:r>
                      <w:rPr>
                        <w:spacing w:val="-4"/>
                        <w:sz w:val="18"/>
                      </w:rPr>
                      <w:t> </w:t>
                    </w:r>
                    <w:r>
                      <w:rPr>
                        <w:sz w:val="18"/>
                      </w:rPr>
                      <w:t>headache,</w:t>
                    </w:r>
                    <w:r>
                      <w:rPr>
                        <w:spacing w:val="-6"/>
                        <w:sz w:val="18"/>
                      </w:rPr>
                      <w:t> </w:t>
                    </w:r>
                    <w:r>
                      <w:rPr>
                        <w:sz w:val="18"/>
                      </w:rPr>
                      <w:t>cognitive</w:t>
                    </w:r>
                    <w:r>
                      <w:rPr>
                        <w:spacing w:val="-5"/>
                        <w:sz w:val="18"/>
                      </w:rPr>
                      <w:t> </w:t>
                    </w:r>
                    <w:r>
                      <w:rPr>
                        <w:sz w:val="18"/>
                      </w:rPr>
                      <w:t>impairment</w:t>
                    </w:r>
                    <w:r>
                      <w:rPr>
                        <w:spacing w:val="-5"/>
                        <w:sz w:val="18"/>
                      </w:rPr>
                      <w:t> </w:t>
                    </w:r>
                    <w:r>
                      <w:rPr>
                        <w:sz w:val="18"/>
                      </w:rPr>
                      <w:t>(“brain</w:t>
                    </w:r>
                    <w:r>
                      <w:rPr>
                        <w:spacing w:val="-5"/>
                        <w:sz w:val="18"/>
                      </w:rPr>
                      <w:t> </w:t>
                    </w:r>
                    <w:r>
                      <w:rPr>
                        <w:sz w:val="18"/>
                      </w:rPr>
                      <w:t>fog”),</w:t>
                    </w:r>
                    <w:r>
                      <w:rPr>
                        <w:spacing w:val="-5"/>
                        <w:sz w:val="18"/>
                      </w:rPr>
                      <w:t> </w:t>
                    </w:r>
                    <w:r>
                      <w:rPr>
                        <w:sz w:val="18"/>
                      </w:rPr>
                      <w:t>chest</w:t>
                    </w:r>
                    <w:r>
                      <w:rPr>
                        <w:spacing w:val="-5"/>
                        <w:sz w:val="18"/>
                      </w:rPr>
                      <w:t> </w:t>
                    </w:r>
                    <w:r>
                      <w:rPr>
                        <w:sz w:val="18"/>
                      </w:rPr>
                      <w:t>pain</w:t>
                    </w:r>
                    <w:r>
                      <w:rPr>
                        <w:spacing w:val="-4"/>
                        <w:sz w:val="18"/>
                      </w:rPr>
                      <w:t> </w:t>
                    </w:r>
                    <w:r>
                      <w:rPr>
                        <w:sz w:val="18"/>
                      </w:rPr>
                      <w:t>(angina-like),</w:t>
                    </w:r>
                    <w:r>
                      <w:rPr>
                        <w:spacing w:val="-5"/>
                        <w:sz w:val="18"/>
                      </w:rPr>
                      <w:t> </w:t>
                    </w:r>
                    <w:r>
                      <w:rPr>
                        <w:sz w:val="18"/>
                      </w:rPr>
                      <w:t>dyspnoea,</w:t>
                    </w:r>
                    <w:r>
                      <w:rPr>
                        <w:spacing w:val="-5"/>
                        <w:sz w:val="18"/>
                      </w:rPr>
                      <w:t> </w:t>
                    </w:r>
                    <w:r>
                      <w:rPr>
                        <w:sz w:val="18"/>
                      </w:rPr>
                      <w:t>heat/cold</w:t>
                    </w:r>
                    <w:r>
                      <w:rPr>
                        <w:spacing w:val="-5"/>
                        <w:sz w:val="18"/>
                      </w:rPr>
                      <w:t> </w:t>
                    </w:r>
                    <w:r>
                      <w:rPr>
                        <w:sz w:val="18"/>
                      </w:rPr>
                      <w:t>intolerance,</w:t>
                    </w:r>
                    <w:r>
                      <w:rPr>
                        <w:spacing w:val="-5"/>
                        <w:sz w:val="18"/>
                      </w:rPr>
                      <w:t> </w:t>
                    </w:r>
                    <w:r>
                      <w:rPr>
                        <w:sz w:val="18"/>
                      </w:rPr>
                      <w:t>Raynaud- like phenomena, skin discolouration, and venous pooling. Main aetiological factors and proposed pathomechanisms of POTS are</w:t>
                    </w:r>
                    <w:r>
                      <w:rPr>
                        <w:spacing w:val="21"/>
                        <w:sz w:val="18"/>
                      </w:rPr>
                      <w:t> </w:t>
                    </w:r>
                    <w:r>
                      <w:rPr>
                        <w:sz w:val="18"/>
                      </w:rPr>
                      <w:t>presented.</w:t>
                    </w:r>
                  </w:p>
                  <w:p>
                    <w:pPr>
                      <w:spacing w:line="220" w:lineRule="exact" w:before="0"/>
                      <w:ind w:left="179" w:right="0" w:firstLine="0"/>
                      <w:jc w:val="both"/>
                      <w:rPr>
                        <w:sz w:val="18"/>
                      </w:rPr>
                    </w:pPr>
                    <w:r>
                      <w:rPr>
                        <w:sz w:val="18"/>
                      </w:rPr>
                      <w:t>Abbreviation: POTS, postural orthostatic tachycardia  syndrome.</w:t>
                    </w:r>
                  </w:p>
                </w:txbxContent>
              </v:textbox>
              <w10:wrap type="none"/>
            </v:shape>
          </v:group>
        </w:pict>
      </w:r>
      <w:r>
        <w:rPr>
          <w:sz w:val="20"/>
        </w:rPr>
      </w:r>
    </w:p>
    <w:p>
      <w:pPr>
        <w:pStyle w:val="BodyText"/>
        <w:spacing w:before="5"/>
        <w:rPr>
          <w:sz w:val="16"/>
        </w:rPr>
      </w:pPr>
    </w:p>
    <w:p>
      <w:pPr>
        <w:spacing w:after="0"/>
        <w:rPr>
          <w:sz w:val="16"/>
        </w:rPr>
        <w:sectPr>
          <w:pgSz w:w="11910" w:h="15880"/>
          <w:pgMar w:header="470" w:footer="0" w:top="840" w:bottom="280" w:left="840" w:right="780"/>
        </w:sectPr>
      </w:pPr>
    </w:p>
    <w:p>
      <w:pPr>
        <w:pStyle w:val="BodyText"/>
        <w:spacing w:line="256" w:lineRule="auto" w:before="94"/>
        <w:ind w:left="116" w:right="252"/>
        <w:jc w:val="both"/>
      </w:pPr>
      <w:r>
        <w:rPr/>
        <w:drawing>
          <wp:anchor distT="0" distB="0" distL="0" distR="0" allowOverlap="1" layoutInCell="1" locked="0" behindDoc="0" simplePos="0" relativeHeight="1264">
            <wp:simplePos x="0" y="0"/>
            <wp:positionH relativeFrom="page">
              <wp:posOffset>3792867</wp:posOffset>
            </wp:positionH>
            <wp:positionV relativeFrom="paragraph">
              <wp:posOffset>89447</wp:posOffset>
            </wp:positionV>
            <wp:extent cx="12649" cy="3875567"/>
            <wp:effectExtent l="0" t="0" r="0" b="0"/>
            <wp:wrapNone/>
            <wp:docPr id="5" name="image10.png" descr=""/>
            <wp:cNvGraphicFramePr>
              <a:graphicFrameLocks noChangeAspect="1"/>
            </wp:cNvGraphicFramePr>
            <a:graphic>
              <a:graphicData uri="http://schemas.openxmlformats.org/drawingml/2006/picture">
                <pic:pic>
                  <pic:nvPicPr>
                    <pic:cNvPr id="6" name="image10.png"/>
                    <pic:cNvPicPr/>
                  </pic:nvPicPr>
                  <pic:blipFill>
                    <a:blip r:embed="rId20" cstate="print"/>
                    <a:stretch>
                      <a:fillRect/>
                    </a:stretch>
                  </pic:blipFill>
                  <pic:spPr>
                    <a:xfrm>
                      <a:off x="0" y="0"/>
                      <a:ext cx="12649" cy="3875567"/>
                    </a:xfrm>
                    <a:prstGeom prst="rect">
                      <a:avLst/>
                    </a:prstGeom>
                  </pic:spPr>
                </pic:pic>
              </a:graphicData>
            </a:graphic>
          </wp:anchor>
        </w:drawing>
      </w:r>
      <w:r>
        <w:rPr/>
        <w:t>practice in care coordination; and the patient experiences, education, and advocacy work needed.</w:t>
      </w:r>
    </w:p>
    <w:p>
      <w:pPr>
        <w:spacing w:before="136"/>
        <w:ind w:left="116" w:right="0" w:firstLine="0"/>
        <w:jc w:val="both"/>
        <w:rPr>
          <w:b/>
          <w:sz w:val="25"/>
        </w:rPr>
      </w:pPr>
      <w:r>
        <w:rPr>
          <w:b/>
          <w:color w:val="0093D6"/>
          <w:sz w:val="25"/>
        </w:rPr>
        <w:t>Pathophysiology of POTS</w:t>
      </w:r>
    </w:p>
    <w:p>
      <w:pPr>
        <w:pStyle w:val="BodyText"/>
        <w:spacing w:line="256" w:lineRule="auto" w:before="39"/>
        <w:ind w:left="116" w:right="252"/>
        <w:jc w:val="both"/>
      </w:pPr>
      <w:r>
        <w:rPr/>
        <w:t>Pathophysiology of POTS and other common autonomic disorders, including inappropriate sinus tachycardia and orthostatic hypotension (</w:t>
      </w:r>
      <w:hyperlink w:history="true" w:anchor="_bookmark17">
        <w:r>
          <w:rPr>
            <w:color w:val="127EAD"/>
          </w:rPr>
          <w:t>Figure 1</w:t>
        </w:r>
      </w:hyperlink>
      <w:r>
        <w:rPr/>
        <w:t>), has not been sufficiently explored and several disease models have been proposed [</w:t>
      </w:r>
      <w:hyperlink w:history="true" w:anchor="_bookmark28">
        <w:r>
          <w:rPr>
            <w:color w:val="127EAD"/>
          </w:rPr>
          <w:t>7</w:t>
        </w:r>
      </w:hyperlink>
      <w:r>
        <w:rPr/>
        <w:t>,</w:t>
      </w:r>
      <w:hyperlink w:history="true" w:anchor="_bookmark35">
        <w:r>
          <w:rPr>
            <w:color w:val="127EAD"/>
          </w:rPr>
          <w:t>15–18</w:t>
        </w:r>
      </w:hyperlink>
      <w:r>
        <w:rPr/>
        <w:t>]. In general, POTS is seen as dysregulation of heart rate control, with exaggerated chronotropic response to orthostatic blood volume shift, whereas inappropriate sinus tachycardia presents with constantly increased heart rate [</w:t>
      </w:r>
      <w:hyperlink w:history="true" w:anchor="_bookmark23">
        <w:r>
          <w:rPr>
            <w:color w:val="127EAD"/>
          </w:rPr>
          <w:t>2</w:t>
        </w:r>
      </w:hyperlink>
      <w:r>
        <w:rPr/>
        <w:t>,</w:t>
      </w:r>
      <w:hyperlink w:history="true" w:anchor="_bookmark36">
        <w:r>
          <w:rPr>
            <w:color w:val="127EAD"/>
          </w:rPr>
          <w:t>18–20</w:t>
        </w:r>
      </w:hyperlink>
      <w:r>
        <w:rPr/>
        <w:t>]. What produces the characteristic tachycardia is still an object of debate, although two main phenotypes have been identified: mainly hyperadrenergic state and secondary compensatory sinus tachycardia (hypovolemic</w:t>
      </w:r>
      <w:r>
        <w:rPr>
          <w:spacing w:val="-7"/>
        </w:rPr>
        <w:t> </w:t>
      </w:r>
      <w:r>
        <w:rPr/>
        <w:t>or neuropathic) [</w:t>
      </w:r>
      <w:hyperlink w:history="true" w:anchor="_bookmark37">
        <w:r>
          <w:rPr>
            <w:color w:val="127EAD"/>
          </w:rPr>
          <w:t>19</w:t>
        </w:r>
      </w:hyperlink>
      <w:r>
        <w:rPr/>
        <w:t>]. Importantly, both POTS phenotypes may overlap and are not mutually </w:t>
      </w:r>
      <w:r>
        <w:rPr>
          <w:spacing w:val="12"/>
        </w:rPr>
        <w:t> </w:t>
      </w:r>
      <w:r>
        <w:rPr/>
        <w:t>exclusive.</w:t>
      </w:r>
    </w:p>
    <w:p>
      <w:pPr>
        <w:pStyle w:val="BodyText"/>
        <w:spacing w:line="256" w:lineRule="auto"/>
        <w:ind w:left="116" w:right="252" w:firstLine="179"/>
        <w:jc w:val="both"/>
      </w:pPr>
      <w:r>
        <w:rPr/>
        <w:t>The former may be caused by: a) abnormally increased activity of higher sympathetic centres producing circulating catecholamine excess and increased activity of peripheral sympathetic nerves [</w:t>
      </w:r>
      <w:hyperlink w:history="true" w:anchor="_bookmark28">
        <w:r>
          <w:rPr>
            <w:color w:val="127EAD"/>
          </w:rPr>
          <w:t>7</w:t>
        </w:r>
      </w:hyperlink>
      <w:r>
        <w:rPr/>
        <w:t>]; b) autoimmune process and hypo- thetical circulating autoantibodies that stimulate, block, or modify action of adrenergic and other cardiovascular G- protein coupled receptors, muscarinic endothelin, angio- tensin,  and  adenosine,  to  name  the  most  important ones</w:t>
      </w:r>
    </w:p>
    <w:p>
      <w:pPr>
        <w:pStyle w:val="BodyText"/>
        <w:spacing w:line="256" w:lineRule="auto" w:before="94"/>
        <w:ind w:left="116" w:right="104"/>
        <w:jc w:val="both"/>
      </w:pPr>
      <w:r>
        <w:rPr/>
        <w:br w:type="column"/>
      </w:r>
      <w:r>
        <w:rPr/>
        <w:t>[</w:t>
      </w:r>
      <w:hyperlink w:history="true" w:anchor="_bookmark28">
        <w:r>
          <w:rPr>
            <w:color w:val="127EAD"/>
          </w:rPr>
          <w:t>7</w:t>
        </w:r>
      </w:hyperlink>
      <w:r>
        <w:rPr/>
        <w:t>,</w:t>
      </w:r>
      <w:hyperlink w:history="true" w:anchor="_bookmark38">
        <w:r>
          <w:rPr>
            <w:color w:val="127EAD"/>
          </w:rPr>
          <w:t>21</w:t>
        </w:r>
      </w:hyperlink>
      <w:r>
        <w:rPr/>
        <w:t>,</w:t>
      </w:r>
      <w:hyperlink w:history="true" w:anchor="_bookmark39">
        <w:r>
          <w:rPr>
            <w:color w:val="127EAD"/>
          </w:rPr>
          <w:t>22</w:t>
        </w:r>
      </w:hyperlink>
      <w:r>
        <w:rPr/>
        <w:t>]; and c) hypothetical central and peripheral neuro- inflammation localised to the brainstem and other central nervous system structures controlling the autonomic ner- vous system that may cause autonomic imbalance promot- ing sympathetic hyperactivity, vagal impairment, or both [</w:t>
      </w:r>
      <w:hyperlink w:history="true" w:anchor="_bookmark28">
        <w:r>
          <w:rPr>
            <w:color w:val="127EAD"/>
          </w:rPr>
          <w:t>7</w:t>
        </w:r>
      </w:hyperlink>
      <w:r>
        <w:rPr/>
        <w:t>,</w:t>
      </w:r>
      <w:hyperlink w:history="true" w:anchor="_bookmark40">
        <w:r>
          <w:rPr>
            <w:color w:val="127EAD"/>
          </w:rPr>
          <w:t>23</w:t>
        </w:r>
      </w:hyperlink>
      <w:r>
        <w:rPr/>
        <w:t>,</w:t>
      </w:r>
      <w:hyperlink w:history="true" w:anchor="_bookmark41">
        <w:r>
          <w:rPr>
            <w:color w:val="127EAD"/>
          </w:rPr>
          <w:t>24</w:t>
        </w:r>
      </w:hyperlink>
      <w:r>
        <w:rPr/>
        <w:t>].</w:t>
      </w:r>
    </w:p>
    <w:p>
      <w:pPr>
        <w:pStyle w:val="BodyText"/>
        <w:spacing w:line="256" w:lineRule="auto"/>
        <w:ind w:left="116" w:right="104" w:firstLine="180"/>
        <w:jc w:val="both"/>
      </w:pPr>
      <w:r>
        <w:rPr/>
        <w:t>Compensatory sinus tachycardia is postulated to be caused by reduced circulating blood volume (absolute hypovolaemia) [</w:t>
      </w:r>
      <w:hyperlink w:history="true" w:anchor="_bookmark42">
        <w:r>
          <w:rPr>
            <w:color w:val="127EAD"/>
          </w:rPr>
          <w:t>25</w:t>
        </w:r>
      </w:hyperlink>
      <w:r>
        <w:rPr/>
        <w:t>], impaired peripheral vascular response leading to venous pooling, and reduced venous return on standing (relative hypovolaemia) [</w:t>
      </w:r>
      <w:hyperlink w:history="true" w:anchor="_bookmark28">
        <w:r>
          <w:rPr>
            <w:color w:val="127EAD"/>
          </w:rPr>
          <w:t>7</w:t>
        </w:r>
      </w:hyperlink>
      <w:r>
        <w:rPr/>
        <w:t>,</w:t>
      </w:r>
      <w:hyperlink w:history="true" w:anchor="_bookmark37">
        <w:r>
          <w:rPr>
            <w:color w:val="127EAD"/>
          </w:rPr>
          <w:t>19</w:t>
        </w:r>
      </w:hyperlink>
      <w:r>
        <w:rPr/>
        <w:t>]. Although the hypovolaemia could be due to disorder of the renin- angiotensin-aldosterone system [</w:t>
      </w:r>
      <w:hyperlink w:history="true" w:anchor="_bookmark43">
        <w:r>
          <w:rPr>
            <w:color w:val="127EAD"/>
          </w:rPr>
          <w:t>26</w:t>
        </w:r>
      </w:hyperlink>
      <w:r>
        <w:rPr/>
        <w:t>,</w:t>
      </w:r>
      <w:hyperlink w:history="true" w:anchor="_bookmark44">
        <w:r>
          <w:rPr>
            <w:color w:val="127EAD"/>
          </w:rPr>
          <w:t>27</w:t>
        </w:r>
      </w:hyperlink>
      <w:r>
        <w:rPr/>
        <w:t>], peripheral auto- nomic neuropathy and hereditary connective tissue disorders such as joint hypermobility syndromes (e.g., Ehlers–Danlos syndrome) may underlie the impaired vascular response [</w:t>
      </w:r>
      <w:hyperlink w:history="true" w:anchor="_bookmark28">
        <w:r>
          <w:rPr>
            <w:color w:val="127EAD"/>
          </w:rPr>
          <w:t>7</w:t>
        </w:r>
      </w:hyperlink>
      <w:r>
        <w:rPr/>
        <w:t>,</w:t>
      </w:r>
      <w:hyperlink w:history="true" w:anchor="_bookmark36">
        <w:r>
          <w:rPr>
            <w:color w:val="127EAD"/>
          </w:rPr>
          <w:t>18</w:t>
        </w:r>
      </w:hyperlink>
      <w:r>
        <w:rPr/>
        <w:t>].</w:t>
      </w:r>
    </w:p>
    <w:p>
      <w:pPr>
        <w:pStyle w:val="BodyText"/>
        <w:spacing w:line="256" w:lineRule="auto"/>
        <w:ind w:left="116" w:right="104" w:firstLine="180"/>
        <w:jc w:val="both"/>
      </w:pPr>
      <w:r>
        <w:rPr/>
        <w:t>Recent studies have partly confirmed the existence of hyperadrenergic and hypovolaemic POTS phenotypes associated with different circulatory responses: in the hyperadrenergic phenotype, vasoconstriction expressed as increased diastolic blood pressure (BP) dominates on top of sinus tachycardia [</w:t>
      </w:r>
      <w:hyperlink w:history="true" w:anchor="_bookmark45">
        <w:r>
          <w:rPr>
            <w:color w:val="127EAD"/>
          </w:rPr>
          <w:t>28</w:t>
        </w:r>
      </w:hyperlink>
      <w:r>
        <w:rPr/>
        <w:t>], whereas in the hypovolemic pheno- type, a greater degree of postural tachycardia is seen with larger blood volume deficit [</w:t>
      </w:r>
      <w:hyperlink w:history="true" w:anchor="_bookmark46">
        <w:r>
          <w:rPr>
            <w:color w:val="127EAD"/>
          </w:rPr>
          <w:t>29</w:t>
        </w:r>
      </w:hyperlink>
      <w:r>
        <w:rPr/>
        <w:t>]. Interestingly, POTS is not only   associated  with   an   abnormal   heart  rate   but  also</w:t>
      </w:r>
    </w:p>
    <w:p>
      <w:pPr>
        <w:spacing w:after="0" w:line="256" w:lineRule="auto"/>
        <w:jc w:val="both"/>
        <w:sectPr>
          <w:type w:val="continuous"/>
          <w:pgSz w:w="11910" w:h="15880"/>
          <w:pgMar w:top="660" w:bottom="280" w:left="840" w:right="780"/>
          <w:cols w:num="2" w:equalWidth="0">
            <w:col w:w="5153" w:space="126"/>
            <w:col w:w="5011"/>
          </w:cols>
        </w:sectPr>
      </w:pPr>
    </w:p>
    <w:p>
      <w:pPr>
        <w:pStyle w:val="BodyText"/>
        <w:spacing w:before="8"/>
        <w:rPr>
          <w:sz w:val="25"/>
        </w:rPr>
      </w:pPr>
    </w:p>
    <w:p>
      <w:pPr>
        <w:spacing w:after="0"/>
        <w:rPr>
          <w:sz w:val="25"/>
        </w:rPr>
        <w:sectPr>
          <w:pgSz w:w="11910" w:h="15880"/>
          <w:pgMar w:header="471" w:footer="0" w:top="840" w:bottom="280" w:left="780" w:right="840"/>
        </w:sectPr>
      </w:pPr>
    </w:p>
    <w:p>
      <w:pPr>
        <w:pStyle w:val="BodyText"/>
        <w:spacing w:line="256" w:lineRule="auto" w:before="93"/>
        <w:ind w:left="106" w:right="251"/>
        <w:jc w:val="both"/>
      </w:pPr>
      <w:r>
        <w:rPr/>
        <w:drawing>
          <wp:anchor distT="0" distB="0" distL="0" distR="0" allowOverlap="1" layoutInCell="1" locked="0" behindDoc="0" simplePos="0" relativeHeight="1336">
            <wp:simplePos x="0" y="0"/>
            <wp:positionH relativeFrom="page">
              <wp:posOffset>3748455</wp:posOffset>
            </wp:positionH>
            <wp:positionV relativeFrom="paragraph">
              <wp:posOffset>88671</wp:posOffset>
            </wp:positionV>
            <wp:extent cx="12649" cy="3606787"/>
            <wp:effectExtent l="0" t="0" r="0" b="0"/>
            <wp:wrapNone/>
            <wp:docPr id="7" name="image11.png" descr=""/>
            <wp:cNvGraphicFramePr>
              <a:graphicFrameLocks noChangeAspect="1"/>
            </wp:cNvGraphicFramePr>
            <a:graphic>
              <a:graphicData uri="http://schemas.openxmlformats.org/drawingml/2006/picture">
                <pic:pic>
                  <pic:nvPicPr>
                    <pic:cNvPr id="8" name="image11.png"/>
                    <pic:cNvPicPr/>
                  </pic:nvPicPr>
                  <pic:blipFill>
                    <a:blip r:embed="rId21" cstate="print"/>
                    <a:stretch>
                      <a:fillRect/>
                    </a:stretch>
                  </pic:blipFill>
                  <pic:spPr>
                    <a:xfrm>
                      <a:off x="0" y="0"/>
                      <a:ext cx="12649" cy="3606787"/>
                    </a:xfrm>
                    <a:prstGeom prst="rect">
                      <a:avLst/>
                    </a:prstGeom>
                  </pic:spPr>
                </pic:pic>
              </a:graphicData>
            </a:graphic>
          </wp:anchor>
        </w:drawing>
      </w:r>
      <w:bookmarkStart w:name="Diagnostic Approach in POTS" w:id="22"/>
      <w:bookmarkEnd w:id="22"/>
      <w:r>
        <w:rPr/>
      </w:r>
      <w:r>
        <w:rPr/>
        <w:t>impaired BP control. Patients with POTS demonstrate more daytime hypotensive episodes on 24-hour BP monitoring and absence of normal nocturnal dipping despite higher 24- hour BP in general [</w:t>
      </w:r>
      <w:hyperlink w:history="true" w:anchor="_bookmark47">
        <w:r>
          <w:rPr>
            <w:color w:val="127EAD"/>
          </w:rPr>
          <w:t>30</w:t>
        </w:r>
      </w:hyperlink>
      <w:r>
        <w:rPr/>
        <w:t>]. It emphasises the complex circula- tory</w:t>
      </w:r>
      <w:r>
        <w:rPr>
          <w:spacing w:val="-5"/>
        </w:rPr>
        <w:t> </w:t>
      </w:r>
      <w:r>
        <w:rPr/>
        <w:t>effects</w:t>
      </w:r>
      <w:r>
        <w:rPr>
          <w:spacing w:val="-5"/>
        </w:rPr>
        <w:t> </w:t>
      </w:r>
      <w:r>
        <w:rPr/>
        <w:t>of</w:t>
      </w:r>
      <w:r>
        <w:rPr>
          <w:spacing w:val="-4"/>
        </w:rPr>
        <w:t> </w:t>
      </w:r>
      <w:r>
        <w:rPr/>
        <w:t>POTS</w:t>
      </w:r>
      <w:r>
        <w:rPr>
          <w:spacing w:val="-5"/>
        </w:rPr>
        <w:t> </w:t>
      </w:r>
      <w:r>
        <w:rPr/>
        <w:t>beyond</w:t>
      </w:r>
      <w:r>
        <w:rPr>
          <w:spacing w:val="-5"/>
        </w:rPr>
        <w:t> </w:t>
      </w:r>
      <w:r>
        <w:rPr/>
        <w:t>heart</w:t>
      </w:r>
      <w:r>
        <w:rPr>
          <w:spacing w:val="-5"/>
        </w:rPr>
        <w:t> </w:t>
      </w:r>
      <w:r>
        <w:rPr/>
        <w:t>rate</w:t>
      </w:r>
      <w:r>
        <w:rPr>
          <w:spacing w:val="-4"/>
        </w:rPr>
        <w:t> </w:t>
      </w:r>
      <w:r>
        <w:rPr/>
        <w:t>control,</w:t>
      </w:r>
      <w:r>
        <w:rPr>
          <w:spacing w:val="-5"/>
        </w:rPr>
        <w:t> </w:t>
      </w:r>
      <w:r>
        <w:rPr/>
        <w:t>with</w:t>
      </w:r>
      <w:r>
        <w:rPr>
          <w:spacing w:val="-5"/>
        </w:rPr>
        <w:t> </w:t>
      </w:r>
      <w:r>
        <w:rPr/>
        <w:t>effect</w:t>
      </w:r>
      <w:r>
        <w:rPr>
          <w:spacing w:val="-5"/>
        </w:rPr>
        <w:t> </w:t>
      </w:r>
      <w:r>
        <w:rPr/>
        <w:t>on the whole circulation (</w:t>
      </w:r>
      <w:hyperlink w:history="true" w:anchor="_bookmark17">
        <w:r>
          <w:rPr>
            <w:color w:val="127EAD"/>
          </w:rPr>
          <w:t>Figure 1</w:t>
        </w:r>
      </w:hyperlink>
      <w:r>
        <w:rPr/>
        <w:t>). In this context, recent studies have also demonstrated that not only global circu- latory parameters, heart rate, and BP are affected in POTS and related dysautonomia but also microcirculation. Microvascular dysfunction has also been observed among patients with long-COVID who develop POTS [</w:t>
      </w:r>
      <w:hyperlink w:history="true" w:anchor="_bookmark48">
        <w:r>
          <w:rPr>
            <w:color w:val="127EAD"/>
          </w:rPr>
          <w:t>31</w:t>
        </w:r>
      </w:hyperlink>
      <w:r>
        <w:rPr/>
        <w:t>,</w:t>
      </w:r>
      <w:hyperlink w:history="true" w:anchor="_bookmark49">
        <w:r>
          <w:rPr>
            <w:color w:val="127EAD"/>
          </w:rPr>
          <w:t>32</w:t>
        </w:r>
      </w:hyperlink>
      <w:r>
        <w:rPr/>
        <w:t>]. This additional symptom-generating mechanism may explain a wide spectrum of symptoms in POTS, cardiac and extrac- ardiac, either central (e.g., brain fog, headache, and sleep disorders) or those localised in remote parts of body such as lower extremities: feeling of cold, heat intolerance, and discolouration of distal limb parts, such as feet and toes (</w:t>
      </w:r>
      <w:hyperlink w:history="true" w:anchor="_bookmark17">
        <w:r>
          <w:rPr>
            <w:color w:val="127EAD"/>
          </w:rPr>
          <w:t>Figure 1</w:t>
        </w:r>
      </w:hyperlink>
      <w:r>
        <w:rPr/>
        <w:t>)</w:t>
      </w:r>
      <w:r>
        <w:rPr>
          <w:spacing w:val="22"/>
        </w:rPr>
        <w:t> </w:t>
      </w:r>
      <w:r>
        <w:rPr/>
        <w:t>[</w:t>
      </w:r>
      <w:hyperlink w:history="true" w:anchor="_bookmark36">
        <w:r>
          <w:rPr>
            <w:color w:val="127EAD"/>
          </w:rPr>
          <w:t>18</w:t>
        </w:r>
      </w:hyperlink>
      <w:r>
        <w:rPr/>
        <w:t>,</w:t>
      </w:r>
      <w:hyperlink w:history="true" w:anchor="_bookmark50">
        <w:r>
          <w:rPr>
            <w:color w:val="127EAD"/>
          </w:rPr>
          <w:t>33</w:t>
        </w:r>
      </w:hyperlink>
      <w:r>
        <w:rPr/>
        <w:t>].</w:t>
      </w:r>
    </w:p>
    <w:p>
      <w:pPr>
        <w:pStyle w:val="Heading2"/>
        <w:spacing w:before="191"/>
      </w:pPr>
      <w:r>
        <w:rPr>
          <w:color w:val="0093D6"/>
        </w:rPr>
        <w:t>Diagnostic Approach in POTS</w:t>
      </w:r>
    </w:p>
    <w:p>
      <w:pPr>
        <w:pStyle w:val="BodyText"/>
        <w:spacing w:line="256" w:lineRule="auto" w:before="39"/>
        <w:ind w:left="106" w:right="250"/>
        <w:jc w:val="both"/>
      </w:pPr>
      <w:r>
        <w:rPr/>
        <w:t>The diagnosis of POTS is traditionally based on heart rate responses to orthostatic stress, typically assessed in the healthcare setting via an active stand test or head-up tilt  test  (see  diagnostic  criteria  in  </w:t>
      </w:r>
      <w:hyperlink w:history="true" w:anchor="_bookmark16">
        <w:r>
          <w:rPr>
            <w:color w:val="127EAD"/>
          </w:rPr>
          <w:t>Table  1</w:t>
        </w:r>
      </w:hyperlink>
      <w:r>
        <w:rPr>
          <w:color w:val="127EAD"/>
        </w:rPr>
        <w:t>  </w:t>
      </w:r>
      <w:r>
        <w:rPr/>
        <w:t>and  </w:t>
      </w:r>
      <w:hyperlink w:history="true" w:anchor="_bookmark18">
        <w:r>
          <w:rPr>
            <w:color w:val="127EAD"/>
          </w:rPr>
          <w:t>Figure  2</w:t>
        </w:r>
      </w:hyperlink>
      <w:r>
        <w:rPr/>
        <w:t>). </w:t>
      </w:r>
      <w:r>
        <w:rPr>
          <w:spacing w:val="4"/>
        </w:rPr>
        <w:t> </w:t>
      </w:r>
      <w:r>
        <w:rPr/>
        <w:t>In</w:t>
      </w:r>
    </w:p>
    <w:p>
      <w:pPr>
        <w:pStyle w:val="BodyText"/>
        <w:spacing w:line="256" w:lineRule="auto" w:before="93"/>
        <w:ind w:left="106" w:right="112"/>
        <w:jc w:val="both"/>
      </w:pPr>
      <w:r>
        <w:rPr/>
        <w:br w:type="column"/>
      </w:r>
      <w:r>
        <w:rPr/>
        <w:t>brief, apart from the sustained increase in heart rate of at least 30 bpm in adults (or 40 bpm in adolescents aged 12–19 years; see section on POTS in the paediatric population) within 10 minutes of orthostasis, there must be an absence of orthostatic hypotension. Although a sustained absolute </w:t>
      </w:r>
      <w:r>
        <w:rPr>
          <w:spacing w:val="1"/>
          <w:w w:val="99"/>
        </w:rPr>
        <w:t>hear</w:t>
      </w:r>
      <w:r>
        <w:rPr>
          <w:w w:val="99"/>
        </w:rPr>
        <w:t>t</w:t>
      </w:r>
      <w:r>
        <w:rPr/>
        <w:t> </w:t>
      </w:r>
      <w:r>
        <w:rPr>
          <w:spacing w:val="-22"/>
        </w:rPr>
        <w:t> </w:t>
      </w:r>
      <w:r>
        <w:rPr>
          <w:spacing w:val="1"/>
          <w:w w:val="99"/>
        </w:rPr>
        <w:t>rat</w:t>
      </w:r>
      <w:r>
        <w:rPr>
          <w:w w:val="99"/>
        </w:rPr>
        <w:t>e</w:t>
      </w:r>
      <w:r>
        <w:rPr/>
        <w:t> </w:t>
      </w:r>
      <w:r>
        <w:rPr>
          <w:spacing w:val="-21"/>
        </w:rPr>
        <w:t> </w:t>
      </w:r>
      <w:r>
        <w:rPr>
          <w:spacing w:val="1"/>
          <w:w w:val="99"/>
        </w:rPr>
        <w:t>o</w:t>
      </w:r>
      <w:r>
        <w:rPr>
          <w:w w:val="99"/>
        </w:rPr>
        <w:t>f</w:t>
      </w:r>
      <w:r>
        <w:rPr/>
        <w:t> </w:t>
      </w:r>
      <w:r>
        <w:rPr>
          <w:spacing w:val="-21"/>
        </w:rPr>
        <w:t> </w:t>
      </w:r>
      <w:r>
        <w:rPr>
          <w:rFonts w:ascii="Lucida Sans" w:hAnsi="Lucida Sans"/>
          <w:w w:val="262"/>
        </w:rPr>
        <w:t>.</w:t>
      </w:r>
      <w:r>
        <w:rPr>
          <w:spacing w:val="1"/>
          <w:w w:val="99"/>
        </w:rPr>
        <w:t>12</w:t>
      </w:r>
      <w:r>
        <w:rPr>
          <w:w w:val="99"/>
        </w:rPr>
        <w:t>0</w:t>
      </w:r>
      <w:r>
        <w:rPr/>
        <w:t> </w:t>
      </w:r>
      <w:r>
        <w:rPr>
          <w:spacing w:val="-21"/>
        </w:rPr>
        <w:t> </w:t>
      </w:r>
      <w:r>
        <w:rPr>
          <w:spacing w:val="1"/>
          <w:w w:val="99"/>
        </w:rPr>
        <w:t>bp</w:t>
      </w:r>
      <w:r>
        <w:rPr>
          <w:w w:val="99"/>
        </w:rPr>
        <w:t>m</w:t>
      </w:r>
      <w:r>
        <w:rPr/>
        <w:t> </w:t>
      </w:r>
      <w:r>
        <w:rPr>
          <w:spacing w:val="-21"/>
        </w:rPr>
        <w:t> </w:t>
      </w:r>
      <w:r>
        <w:rPr>
          <w:spacing w:val="1"/>
          <w:w w:val="99"/>
        </w:rPr>
        <w:t>ma</w:t>
      </w:r>
      <w:r>
        <w:rPr>
          <w:w w:val="99"/>
        </w:rPr>
        <w:t>y</w:t>
      </w:r>
      <w:r>
        <w:rPr/>
        <w:t> </w:t>
      </w:r>
      <w:r>
        <w:rPr>
          <w:spacing w:val="-21"/>
        </w:rPr>
        <w:t> </w:t>
      </w:r>
      <w:r>
        <w:rPr>
          <w:spacing w:val="1"/>
          <w:w w:val="99"/>
        </w:rPr>
        <w:t>b</w:t>
      </w:r>
      <w:r>
        <w:rPr>
          <w:w w:val="99"/>
        </w:rPr>
        <w:t>e</w:t>
      </w:r>
      <w:r>
        <w:rPr/>
        <w:t> </w:t>
      </w:r>
      <w:r>
        <w:rPr>
          <w:spacing w:val="-21"/>
        </w:rPr>
        <w:t> </w:t>
      </w:r>
      <w:r>
        <w:rPr>
          <w:spacing w:val="1"/>
          <w:w w:val="99"/>
        </w:rPr>
        <w:t>diagnosti</w:t>
      </w:r>
      <w:r>
        <w:rPr>
          <w:w w:val="99"/>
        </w:rPr>
        <w:t>c</w:t>
      </w:r>
      <w:r>
        <w:rPr/>
        <w:t> </w:t>
      </w:r>
      <w:r>
        <w:rPr>
          <w:spacing w:val="-21"/>
        </w:rPr>
        <w:t> </w:t>
      </w:r>
      <w:r>
        <w:rPr>
          <w:spacing w:val="1"/>
          <w:w w:val="99"/>
        </w:rPr>
        <w:t>irrespectiv</w:t>
      </w:r>
      <w:r>
        <w:rPr>
          <w:w w:val="99"/>
        </w:rPr>
        <w:t>e</w:t>
      </w:r>
      <w:r>
        <w:rPr/>
        <w:t> </w:t>
      </w:r>
      <w:r>
        <w:rPr>
          <w:spacing w:val="-20"/>
        </w:rPr>
        <w:t> </w:t>
      </w:r>
      <w:r>
        <w:rPr>
          <w:spacing w:val="1"/>
          <w:w w:val="99"/>
        </w:rPr>
        <w:t>of </w:t>
      </w:r>
      <w:r>
        <w:rPr/>
        <w:t>delta heart rate, one must consider inappropriate sinus tachycardia in this scenario [</w:t>
      </w:r>
      <w:hyperlink w:history="true" w:anchor="_bookmark23">
        <w:r>
          <w:rPr>
            <w:color w:val="127EAD"/>
          </w:rPr>
          <w:t>2</w:t>
        </w:r>
      </w:hyperlink>
      <w:r>
        <w:rPr/>
        <w:t>,</w:t>
      </w:r>
      <w:hyperlink w:history="true" w:anchor="_bookmark24">
        <w:r>
          <w:rPr>
            <w:color w:val="127EAD"/>
          </w:rPr>
          <w:t>3</w:t>
        </w:r>
      </w:hyperlink>
      <w:r>
        <w:rPr/>
        <w:t>]. These changes must be accompanied by chronic symptoms of orthostatic intoler- ance, which worsen with upright posture and improve  with recumbence, persisting for at least 3 months. Com- mon orthostatic symptoms include dizziness, palpitations, presyncope, fatigue, headache, nausea, visual disturbance, sweating, tremor, and cognitive impairment [</w:t>
      </w:r>
      <w:hyperlink w:history="true" w:anchor="_bookmark24">
        <w:r>
          <w:rPr>
            <w:color w:val="127EAD"/>
          </w:rPr>
          <w:t>3</w:t>
        </w:r>
      </w:hyperlink>
      <w:r>
        <w:rPr/>
        <w:t>]. Many in- dividuals with POTS also complain of non-orthostatic symptoms (</w:t>
      </w:r>
      <w:hyperlink w:history="true" w:anchor="_bookmark16">
        <w:r>
          <w:rPr>
            <w:color w:val="127EAD"/>
          </w:rPr>
          <w:t>Table</w:t>
        </w:r>
        <w:r>
          <w:rPr>
            <w:color w:val="127EAD"/>
            <w:spacing w:val="39"/>
          </w:rPr>
          <w:t> </w:t>
        </w:r>
        <w:r>
          <w:rPr>
            <w:color w:val="127EAD"/>
          </w:rPr>
          <w:t>1</w:t>
        </w:r>
      </w:hyperlink>
      <w:r>
        <w:rPr/>
        <w:t>).</w:t>
      </w:r>
    </w:p>
    <w:p>
      <w:pPr>
        <w:pStyle w:val="BodyText"/>
        <w:spacing w:line="256" w:lineRule="auto"/>
        <w:ind w:left="106" w:right="116" w:firstLine="179"/>
        <w:jc w:val="both"/>
      </w:pPr>
      <w:r>
        <w:rPr/>
        <w:t>When</w:t>
      </w:r>
      <w:r>
        <w:rPr>
          <w:spacing w:val="-8"/>
        </w:rPr>
        <w:t> </w:t>
      </w:r>
      <w:r>
        <w:rPr/>
        <w:t>diagnosing</w:t>
      </w:r>
      <w:r>
        <w:rPr>
          <w:spacing w:val="-8"/>
        </w:rPr>
        <w:t> </w:t>
      </w:r>
      <w:r>
        <w:rPr/>
        <w:t>POTS,</w:t>
      </w:r>
      <w:r>
        <w:rPr>
          <w:spacing w:val="-8"/>
        </w:rPr>
        <w:t> </w:t>
      </w:r>
      <w:r>
        <w:rPr/>
        <w:t>there</w:t>
      </w:r>
      <w:r>
        <w:rPr>
          <w:spacing w:val="-8"/>
        </w:rPr>
        <w:t> </w:t>
      </w:r>
      <w:r>
        <w:rPr/>
        <w:t>must</w:t>
      </w:r>
      <w:r>
        <w:rPr>
          <w:spacing w:val="-8"/>
        </w:rPr>
        <w:t> </w:t>
      </w:r>
      <w:r>
        <w:rPr/>
        <w:t>be</w:t>
      </w:r>
      <w:r>
        <w:rPr>
          <w:spacing w:val="-7"/>
        </w:rPr>
        <w:t> </w:t>
      </w:r>
      <w:r>
        <w:rPr/>
        <w:t>an</w:t>
      </w:r>
      <w:r>
        <w:rPr>
          <w:spacing w:val="-8"/>
        </w:rPr>
        <w:t> </w:t>
      </w:r>
      <w:r>
        <w:rPr/>
        <w:t>absence</w:t>
      </w:r>
      <w:r>
        <w:rPr>
          <w:spacing w:val="-8"/>
        </w:rPr>
        <w:t> </w:t>
      </w:r>
      <w:r>
        <w:rPr/>
        <w:t>of</w:t>
      </w:r>
      <w:r>
        <w:rPr>
          <w:spacing w:val="-8"/>
        </w:rPr>
        <w:t> </w:t>
      </w:r>
      <w:r>
        <w:rPr/>
        <w:t>other conditions that may account for the postural </w:t>
      </w:r>
      <w:r>
        <w:rPr>
          <w:spacing w:val="-2"/>
        </w:rPr>
        <w:t>tachycardia, </w:t>
      </w:r>
      <w:r>
        <w:rPr/>
        <w:t>such as anaemia, hyperthyroidism, dehydration, and </w:t>
      </w:r>
      <w:r>
        <w:rPr>
          <w:spacing w:val="-2"/>
        </w:rPr>
        <w:t>severe </w:t>
      </w:r>
      <w:r>
        <w:rPr/>
        <w:t>deconditioning (</w:t>
      </w:r>
      <w:hyperlink w:history="true" w:anchor="_bookmark16">
        <w:r>
          <w:rPr>
            <w:color w:val="127EAD"/>
          </w:rPr>
          <w:t>Table 1</w:t>
        </w:r>
      </w:hyperlink>
      <w:r>
        <w:rPr/>
        <w:t>). Although reduced stroke volume, cardiac output, left ventricular mass, and maximum </w:t>
      </w:r>
      <w:r>
        <w:rPr>
          <w:spacing w:val="-2"/>
        </w:rPr>
        <w:t>oxygen </w:t>
      </w:r>
      <w:r>
        <w:rPr/>
        <w:t>uptake during exercise testing were thought to implicate deconditioning as a cause for POTS [</w:t>
      </w:r>
      <w:hyperlink w:history="true" w:anchor="_bookmark51">
        <w:r>
          <w:rPr>
            <w:color w:val="127EAD"/>
          </w:rPr>
          <w:t>34</w:t>
        </w:r>
      </w:hyperlink>
      <w:r>
        <w:rPr/>
        <w:t>,</w:t>
      </w:r>
      <w:hyperlink w:history="true" w:anchor="_bookmark52">
        <w:r>
          <w:rPr>
            <w:color w:val="127EAD"/>
          </w:rPr>
          <w:t>35</w:t>
        </w:r>
      </w:hyperlink>
      <w:r>
        <w:rPr/>
        <w:t>], more </w:t>
      </w:r>
      <w:r>
        <w:rPr>
          <w:spacing w:val="-2"/>
        </w:rPr>
        <w:t>recent </w:t>
      </w:r>
      <w:r>
        <w:rPr/>
        <w:t>findings    of    low    ventricular    filling    pressures</w:t>
      </w:r>
      <w:r>
        <w:rPr>
          <w:spacing w:val="11"/>
        </w:rPr>
        <w:t> </w:t>
      </w:r>
      <w:r>
        <w:rPr/>
        <w:t>despite</w:t>
      </w:r>
    </w:p>
    <w:p>
      <w:pPr>
        <w:spacing w:after="0" w:line="256" w:lineRule="auto"/>
        <w:jc w:val="both"/>
        <w:sectPr>
          <w:type w:val="continuous"/>
          <w:pgSz w:w="11910" w:h="15880"/>
          <w:pgMar w:top="660" w:bottom="280" w:left="780" w:right="840"/>
          <w:cols w:num="2" w:equalWidth="0">
            <w:col w:w="5143" w:space="137"/>
            <w:col w:w="5010"/>
          </w:cols>
        </w:sectPr>
      </w:pPr>
    </w:p>
    <w:p>
      <w:pPr>
        <w:pStyle w:val="BodyText"/>
        <w:rPr>
          <w:sz w:val="20"/>
        </w:rPr>
      </w:pPr>
    </w:p>
    <w:p>
      <w:pPr>
        <w:pStyle w:val="BodyText"/>
        <w:spacing w:before="5"/>
        <w:rPr>
          <w:sz w:val="29"/>
        </w:rPr>
      </w:pPr>
    </w:p>
    <w:p>
      <w:pPr>
        <w:pStyle w:val="BodyText"/>
        <w:ind w:left="101"/>
        <w:rPr>
          <w:sz w:val="20"/>
        </w:rPr>
      </w:pPr>
      <w:r>
        <w:rPr>
          <w:sz w:val="20"/>
        </w:rPr>
        <w:pict>
          <v:group style="width:503.65pt;height:353pt;mso-position-horizontal-relative:char;mso-position-vertical-relative:line" coordorigin="0,0" coordsize="10073,7060">
            <v:rect style="position:absolute;left:5;top:0;width:10062;height:214" filled="true" fillcolor="#f5f4ea" stroked="false">
              <v:fill type="solid"/>
            </v:rect>
            <v:rect style="position:absolute;left:5;top:214;width:10062;height:6530" filled="true" fillcolor="#f5f4ea" stroked="false">
              <v:fill type="solid"/>
            </v:rect>
            <v:line style="position:absolute" from="5,6744" to="10067,6744" stroked="true" strokeweight="0pt" strokecolor="#f5f4ea">
              <v:stroke dashstyle="solid"/>
            </v:line>
            <v:rect style="position:absolute;left:184;top:6744;width:9704;height:116" filled="true" fillcolor="#f5f4ea" stroked="false">
              <v:fill type="solid"/>
            </v:rect>
            <v:rect style="position:absolute;left:5;top:7039;width:10062;height:20" filled="true" fillcolor="#f5f4ea" stroked="false">
              <v:fill type="solid"/>
            </v:rect>
            <v:line style="position:absolute" from="5,7054" to="10067,7054" stroked="true" strokeweight=".498001pt" strokecolor="#f5f4ea">
              <v:stroke dashstyle="solid"/>
            </v:line>
            <v:rect style="position:absolute;left:9888;top:6744;width:179;height:295" filled="true" fillcolor="#f5f4ea" stroked="false">
              <v:fill type="solid"/>
            </v:rect>
            <v:rect style="position:absolute;left:5;top:6744;width:179;height:295" filled="true" fillcolor="#f5f4ea" stroked="false">
              <v:fill type="solid"/>
            </v:rect>
            <v:rect style="position:absolute;left:184;top:6641;width:9704;height:104" filled="true" fillcolor="#f5f4ea" stroked="false">
              <v:fill type="solid"/>
            </v:rect>
            <v:rect style="position:absolute;left:184;top:6860;width:9704;height:179" filled="true" fillcolor="#f5f4ea" stroked="false">
              <v:fill type="solid"/>
            </v:rect>
            <v:shape style="position:absolute;left:485;top:214;width:9103;height:6350" type="#_x0000_t75" stroked="false">
              <v:imagedata r:id="rId22" o:title=""/>
            </v:shape>
            <v:shape style="position:absolute;left:5;top:0;width:10063;height:7060" type="#_x0000_t202" filled="false" stroked="false">
              <v:textbox inset="0,0,0,0">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1"/>
                      <w:rPr>
                        <w:sz w:val="32"/>
                      </w:rPr>
                    </w:pPr>
                  </w:p>
                  <w:p>
                    <w:pPr>
                      <w:spacing w:before="0"/>
                      <w:ind w:left="179" w:right="0" w:firstLine="0"/>
                      <w:jc w:val="left"/>
                      <w:rPr>
                        <w:sz w:val="18"/>
                      </w:rPr>
                    </w:pPr>
                    <w:bookmarkStart w:name="_bookmark18" w:id="23"/>
                    <w:bookmarkEnd w:id="23"/>
                    <w:r>
                      <w:rPr/>
                    </w:r>
                    <w:r>
                      <w:rPr>
                        <w:b/>
                        <w:color w:val="E53527"/>
                        <w:sz w:val="18"/>
                      </w:rPr>
                      <w:t>Figure 2  </w:t>
                    </w:r>
                    <w:r>
                      <w:rPr>
                        <w:sz w:val="18"/>
                      </w:rPr>
                      <w:t>Active stand test considerations. Created with  BioRender.</w:t>
                    </w:r>
                  </w:p>
                </w:txbxContent>
              </v:textbox>
              <w10:wrap type="none"/>
            </v:shape>
          </v:group>
        </w:pict>
      </w:r>
      <w:r>
        <w:rPr>
          <w:sz w:val="20"/>
        </w:rPr>
      </w:r>
    </w:p>
    <w:p>
      <w:pPr>
        <w:spacing w:after="0"/>
        <w:rPr>
          <w:sz w:val="20"/>
        </w:rPr>
        <w:sectPr>
          <w:type w:val="continuous"/>
          <w:pgSz w:w="11910" w:h="15880"/>
          <w:pgMar w:top="660" w:bottom="280" w:left="780" w:right="840"/>
        </w:sectPr>
      </w:pPr>
    </w:p>
    <w:p>
      <w:pPr>
        <w:pStyle w:val="BodyText"/>
        <w:spacing w:before="8"/>
        <w:rPr>
          <w:sz w:val="25"/>
        </w:rPr>
      </w:pPr>
    </w:p>
    <w:p>
      <w:pPr>
        <w:spacing w:after="0"/>
        <w:rPr>
          <w:sz w:val="25"/>
        </w:rPr>
        <w:sectPr>
          <w:pgSz w:w="11910" w:h="15880"/>
          <w:pgMar w:header="470" w:footer="0" w:top="840" w:bottom="280" w:left="840" w:right="780"/>
        </w:sectPr>
      </w:pPr>
    </w:p>
    <w:p>
      <w:pPr>
        <w:pStyle w:val="BodyText"/>
        <w:spacing w:line="256" w:lineRule="auto" w:before="94"/>
        <w:ind w:left="116" w:right="252"/>
        <w:jc w:val="both"/>
      </w:pPr>
      <w:r>
        <w:rPr/>
        <w:drawing>
          <wp:anchor distT="0" distB="0" distL="0" distR="0" allowOverlap="1" layoutInCell="1" locked="0" behindDoc="0" simplePos="0" relativeHeight="1360">
            <wp:simplePos x="0" y="0"/>
            <wp:positionH relativeFrom="page">
              <wp:posOffset>3792867</wp:posOffset>
            </wp:positionH>
            <wp:positionV relativeFrom="page">
              <wp:posOffset>834961</wp:posOffset>
            </wp:positionV>
            <wp:extent cx="12649" cy="8587379"/>
            <wp:effectExtent l="0" t="0" r="0" b="0"/>
            <wp:wrapNone/>
            <wp:docPr id="9" name="image13.png" descr=""/>
            <wp:cNvGraphicFramePr>
              <a:graphicFrameLocks noChangeAspect="1"/>
            </wp:cNvGraphicFramePr>
            <a:graphic>
              <a:graphicData uri="http://schemas.openxmlformats.org/drawingml/2006/picture">
                <pic:pic>
                  <pic:nvPicPr>
                    <pic:cNvPr id="10" name="image13.png"/>
                    <pic:cNvPicPr/>
                  </pic:nvPicPr>
                  <pic:blipFill>
                    <a:blip r:embed="rId23" cstate="print"/>
                    <a:stretch>
                      <a:fillRect/>
                    </a:stretch>
                  </pic:blipFill>
                  <pic:spPr>
                    <a:xfrm>
                      <a:off x="0" y="0"/>
                      <a:ext cx="12649" cy="8587379"/>
                    </a:xfrm>
                    <a:prstGeom prst="rect">
                      <a:avLst/>
                    </a:prstGeom>
                  </pic:spPr>
                </pic:pic>
              </a:graphicData>
            </a:graphic>
          </wp:anchor>
        </w:drawing>
      </w:r>
      <w:bookmarkStart w:name="Interpretation and Diagnostic Subtleties" w:id="24"/>
      <w:bookmarkEnd w:id="24"/>
      <w:r>
        <w:rPr/>
      </w:r>
      <w:bookmarkStart w:name="Management" w:id="25"/>
      <w:bookmarkEnd w:id="25"/>
      <w:r>
        <w:rPr/>
      </w:r>
      <w:bookmarkStart w:name="Non-Pharmacologic Treatments" w:id="26"/>
      <w:bookmarkEnd w:id="26"/>
      <w:r>
        <w:rPr/>
      </w:r>
      <w:r>
        <w:rPr/>
        <w:t>maximum effort contradict the deconditioning hypothesis [</w:t>
      </w:r>
      <w:hyperlink w:history="true" w:anchor="_bookmark53">
        <w:r>
          <w:rPr>
            <w:color w:val="127EAD"/>
          </w:rPr>
          <w:t>36</w:t>
        </w:r>
      </w:hyperlink>
      <w:r>
        <w:rPr/>
        <w:t>].</w:t>
      </w:r>
      <w:r>
        <w:rPr>
          <w:spacing w:val="-9"/>
        </w:rPr>
        <w:t> </w:t>
      </w:r>
      <w:r>
        <w:rPr/>
        <w:t>In</w:t>
      </w:r>
      <w:r>
        <w:rPr>
          <w:spacing w:val="-8"/>
        </w:rPr>
        <w:t> </w:t>
      </w:r>
      <w:r>
        <w:rPr/>
        <w:t>most</w:t>
      </w:r>
      <w:r>
        <w:rPr>
          <w:spacing w:val="-9"/>
        </w:rPr>
        <w:t> </w:t>
      </w:r>
      <w:r>
        <w:rPr/>
        <w:t>cases</w:t>
      </w:r>
      <w:r>
        <w:rPr>
          <w:spacing w:val="-8"/>
        </w:rPr>
        <w:t> </w:t>
      </w:r>
      <w:r>
        <w:rPr/>
        <w:t>of</w:t>
      </w:r>
      <w:r>
        <w:rPr>
          <w:spacing w:val="-8"/>
        </w:rPr>
        <w:t> </w:t>
      </w:r>
      <w:r>
        <w:rPr/>
        <w:t>POTS,</w:t>
      </w:r>
      <w:r>
        <w:rPr>
          <w:spacing w:val="-8"/>
        </w:rPr>
        <w:t> </w:t>
      </w:r>
      <w:r>
        <w:rPr/>
        <w:t>the</w:t>
      </w:r>
      <w:r>
        <w:rPr>
          <w:spacing w:val="-8"/>
        </w:rPr>
        <w:t> </w:t>
      </w:r>
      <w:r>
        <w:rPr/>
        <w:t>sudden</w:t>
      </w:r>
      <w:r>
        <w:rPr>
          <w:spacing w:val="-9"/>
        </w:rPr>
        <w:t> </w:t>
      </w:r>
      <w:r>
        <w:rPr/>
        <w:t>onset</w:t>
      </w:r>
      <w:r>
        <w:rPr>
          <w:spacing w:val="-7"/>
        </w:rPr>
        <w:t> </w:t>
      </w:r>
      <w:r>
        <w:rPr/>
        <w:t>after</w:t>
      </w:r>
      <w:r>
        <w:rPr>
          <w:spacing w:val="-8"/>
        </w:rPr>
        <w:t> </w:t>
      </w:r>
      <w:r>
        <w:rPr/>
        <w:t>even</w:t>
      </w:r>
      <w:r>
        <w:rPr>
          <w:spacing w:val="-9"/>
        </w:rPr>
        <w:t> </w:t>
      </w:r>
      <w:r>
        <w:rPr/>
        <w:t>mild acute illness, with no extended bed rest or hospital admis- sion, suggest that deconditioning is not a primary causative factor [</w:t>
      </w:r>
      <w:hyperlink w:history="true" w:anchor="_bookmark32">
        <w:r>
          <w:rPr>
            <w:color w:val="127EAD"/>
          </w:rPr>
          <w:t>11</w:t>
        </w:r>
      </w:hyperlink>
      <w:r>
        <w:rPr/>
        <w:t>]. On the other hand, caution is warranted when diagnosing POTS in individuals who have been extensively bedbound for several weeks after acute illness because deconditioning may mimic the</w:t>
      </w:r>
      <w:r>
        <w:rPr>
          <w:spacing w:val="-25"/>
        </w:rPr>
        <w:t> </w:t>
      </w:r>
      <w:r>
        <w:rPr/>
        <w:t>syndrome.</w:t>
      </w:r>
    </w:p>
    <w:p>
      <w:pPr>
        <w:pStyle w:val="BodyText"/>
        <w:spacing w:line="256" w:lineRule="auto"/>
        <w:ind w:left="116" w:right="251" w:firstLine="179"/>
        <w:jc w:val="both"/>
      </w:pPr>
      <w:r>
        <w:rPr/>
        <w:t>Although head-up tilt testing has informed historical diagnostic protocols, it is not always required for a diag- nosis of POTS. The use of head-up tilt testing does not require pharmacological provocation, such as nitroglycerin, or use of traditional syncope protocols because these do not add to the diagnostic yield. A thorough clinical history and use of an active stand test is sufficient in most individuals</w:t>
      </w:r>
      <w:r>
        <w:rPr>
          <w:spacing w:val="-15"/>
        </w:rPr>
        <w:t> </w:t>
      </w:r>
      <w:r>
        <w:rPr/>
        <w:t>to establish a diagnosis of POTS. It should be noted, however, that delta heart rates are typically lower in the active stand test than in head-up tilt testing, raising the requirement for repeat testing if clinical suspicion remains high but heart rate</w:t>
      </w:r>
      <w:r>
        <w:rPr>
          <w:spacing w:val="-4"/>
        </w:rPr>
        <w:t> </w:t>
      </w:r>
      <w:r>
        <w:rPr/>
        <w:t>criteria</w:t>
      </w:r>
      <w:r>
        <w:rPr>
          <w:spacing w:val="-5"/>
        </w:rPr>
        <w:t> </w:t>
      </w:r>
      <w:r>
        <w:rPr/>
        <w:t>is</w:t>
      </w:r>
      <w:r>
        <w:rPr>
          <w:spacing w:val="-3"/>
        </w:rPr>
        <w:t> </w:t>
      </w:r>
      <w:r>
        <w:rPr/>
        <w:t>not</w:t>
      </w:r>
      <w:r>
        <w:rPr>
          <w:spacing w:val="-4"/>
        </w:rPr>
        <w:t> </w:t>
      </w:r>
      <w:r>
        <w:rPr/>
        <w:t>met</w:t>
      </w:r>
      <w:r>
        <w:rPr>
          <w:spacing w:val="-4"/>
        </w:rPr>
        <w:t> </w:t>
      </w:r>
      <w:r>
        <w:rPr/>
        <w:t>[</w:t>
      </w:r>
      <w:hyperlink w:history="true" w:anchor="_bookmark54">
        <w:r>
          <w:rPr>
            <w:color w:val="127EAD"/>
          </w:rPr>
          <w:t>37</w:t>
        </w:r>
      </w:hyperlink>
      <w:r>
        <w:rPr/>
        <w:t>].</w:t>
      </w:r>
      <w:r>
        <w:rPr>
          <w:spacing w:val="-3"/>
        </w:rPr>
        <w:t> </w:t>
      </w:r>
      <w:r>
        <w:rPr/>
        <w:t>However,</w:t>
      </w:r>
      <w:r>
        <w:rPr>
          <w:spacing w:val="-4"/>
        </w:rPr>
        <w:t> </w:t>
      </w:r>
      <w:r>
        <w:rPr/>
        <w:t>where</w:t>
      </w:r>
      <w:r>
        <w:rPr>
          <w:spacing w:val="-4"/>
        </w:rPr>
        <w:t> </w:t>
      </w:r>
      <w:r>
        <w:rPr/>
        <w:t>there</w:t>
      </w:r>
      <w:r>
        <w:rPr>
          <w:spacing w:val="-4"/>
        </w:rPr>
        <w:t> </w:t>
      </w:r>
      <w:r>
        <w:rPr/>
        <w:t>is</w:t>
      </w:r>
      <w:r>
        <w:rPr>
          <w:spacing w:val="-4"/>
        </w:rPr>
        <w:t> </w:t>
      </w:r>
      <w:r>
        <w:rPr/>
        <w:t>a</w:t>
      </w:r>
      <w:r>
        <w:rPr>
          <w:spacing w:val="-4"/>
        </w:rPr>
        <w:t> </w:t>
      </w:r>
      <w:r>
        <w:rPr/>
        <w:t>risk</w:t>
      </w:r>
      <w:r>
        <w:rPr>
          <w:spacing w:val="-4"/>
        </w:rPr>
        <w:t> </w:t>
      </w:r>
      <w:r>
        <w:rPr/>
        <w:t>of injury</w:t>
      </w:r>
      <w:r>
        <w:rPr>
          <w:spacing w:val="-7"/>
        </w:rPr>
        <w:t> </w:t>
      </w:r>
      <w:r>
        <w:rPr/>
        <w:t>with</w:t>
      </w:r>
      <w:r>
        <w:rPr>
          <w:spacing w:val="-5"/>
        </w:rPr>
        <w:t> </w:t>
      </w:r>
      <w:r>
        <w:rPr/>
        <w:t>use</w:t>
      </w:r>
      <w:r>
        <w:rPr>
          <w:spacing w:val="-6"/>
        </w:rPr>
        <w:t> </w:t>
      </w:r>
      <w:r>
        <w:rPr/>
        <w:t>of</w:t>
      </w:r>
      <w:r>
        <w:rPr>
          <w:spacing w:val="-6"/>
        </w:rPr>
        <w:t> </w:t>
      </w:r>
      <w:r>
        <w:rPr/>
        <w:t>an</w:t>
      </w:r>
      <w:r>
        <w:rPr>
          <w:spacing w:val="-6"/>
        </w:rPr>
        <w:t> </w:t>
      </w:r>
      <w:r>
        <w:rPr/>
        <w:t>active</w:t>
      </w:r>
      <w:r>
        <w:rPr>
          <w:spacing w:val="-6"/>
        </w:rPr>
        <w:t> </w:t>
      </w:r>
      <w:r>
        <w:rPr/>
        <w:t>stand</w:t>
      </w:r>
      <w:r>
        <w:rPr>
          <w:spacing w:val="-6"/>
        </w:rPr>
        <w:t> </w:t>
      </w:r>
      <w:r>
        <w:rPr/>
        <w:t>test</w:t>
      </w:r>
      <w:r>
        <w:rPr>
          <w:spacing w:val="-5"/>
        </w:rPr>
        <w:t> </w:t>
      </w:r>
      <w:r>
        <w:rPr/>
        <w:t>to</w:t>
      </w:r>
      <w:r>
        <w:rPr>
          <w:spacing w:val="-5"/>
        </w:rPr>
        <w:t> </w:t>
      </w:r>
      <w:r>
        <w:rPr/>
        <w:t>patients,</w:t>
      </w:r>
      <w:r>
        <w:rPr>
          <w:spacing w:val="-6"/>
        </w:rPr>
        <w:t> </w:t>
      </w:r>
      <w:r>
        <w:rPr/>
        <w:t>a</w:t>
      </w:r>
      <w:r>
        <w:rPr>
          <w:spacing w:val="-6"/>
        </w:rPr>
        <w:t> </w:t>
      </w:r>
      <w:r>
        <w:rPr/>
        <w:t>drug-free head-up tilt test should be undertaken. There are many practical considerations surrounding orthostatic testing (</w:t>
      </w:r>
      <w:hyperlink w:history="true" w:anchor="_bookmark18">
        <w:r>
          <w:rPr>
            <w:color w:val="127EAD"/>
          </w:rPr>
          <w:t>Figure 2</w:t>
        </w:r>
      </w:hyperlink>
      <w:r>
        <w:rPr/>
        <w:t>), which may uncover other types of orthostatic intolerance, including transient immediate or classic ortho- static hypotension and vasovagal</w:t>
      </w:r>
      <w:r>
        <w:rPr>
          <w:spacing w:val="41"/>
        </w:rPr>
        <w:t> </w:t>
      </w:r>
      <w:r>
        <w:rPr/>
        <w:t>syncope.</w:t>
      </w:r>
    </w:p>
    <w:p>
      <w:pPr>
        <w:pStyle w:val="BodyText"/>
        <w:spacing w:line="256" w:lineRule="auto"/>
        <w:ind w:left="116" w:right="251" w:firstLine="179"/>
        <w:jc w:val="both"/>
      </w:pPr>
      <w:r>
        <w:rPr/>
        <w:t>The use of patient-reported outcome measures is partic- ularly useful in those with POTS to help gather the patient’s objective quantification of symptom burden and direct treatment. A recently developed method, the Malmö POTS symptom score, is an easily accessible questionnaire of 12 usually reported POTS symptoms using a visual analogue scale that patients can complete before attending an initial appointment. A score of </w:t>
      </w:r>
      <w:r>
        <w:rPr>
          <w:rFonts w:ascii="Arial" w:hAnsi="Arial"/>
        </w:rPr>
        <w:t>≥</w:t>
      </w:r>
      <w:r>
        <w:rPr/>
        <w:t>42 could discriminate those with POTS from healthy controls, with 97% sensitivity and 98% specificity [</w:t>
      </w:r>
      <w:hyperlink w:history="true" w:anchor="_bookmark50">
        <w:r>
          <w:rPr>
            <w:color w:val="127EAD"/>
          </w:rPr>
          <w:t>33</w:t>
        </w:r>
      </w:hyperlink>
      <w:r>
        <w:rPr/>
        <w:t>]. Other patient-reported outcome measures that may be considered include the Composite Autonomic Symptom Score (COMPASS-31), as a measure of broad autonomic symptom burden [</w:t>
      </w:r>
      <w:hyperlink w:history="true" w:anchor="_bookmark55">
        <w:r>
          <w:rPr>
            <w:color w:val="127EAD"/>
          </w:rPr>
          <w:t>38</w:t>
        </w:r>
      </w:hyperlink>
      <w:r>
        <w:rPr/>
        <w:t>]; the five-point hypermo- bility score, which can assist in identifying the presence of joint</w:t>
      </w:r>
      <w:r>
        <w:rPr>
          <w:spacing w:val="-8"/>
        </w:rPr>
        <w:t> </w:t>
      </w:r>
      <w:r>
        <w:rPr/>
        <w:t>hypermobility</w:t>
      </w:r>
      <w:r>
        <w:rPr>
          <w:spacing w:val="-6"/>
        </w:rPr>
        <w:t> </w:t>
      </w:r>
      <w:r>
        <w:rPr/>
        <w:t>[</w:t>
      </w:r>
      <w:hyperlink w:history="true" w:anchor="_bookmark56">
        <w:r>
          <w:rPr>
            <w:color w:val="127EAD"/>
          </w:rPr>
          <w:t>39</w:t>
        </w:r>
      </w:hyperlink>
      <w:r>
        <w:rPr/>
        <w:t>];</w:t>
      </w:r>
      <w:r>
        <w:rPr>
          <w:spacing w:val="-7"/>
        </w:rPr>
        <w:t> </w:t>
      </w:r>
      <w:r>
        <w:rPr/>
        <w:t>and</w:t>
      </w:r>
      <w:r>
        <w:rPr>
          <w:spacing w:val="-7"/>
        </w:rPr>
        <w:t> </w:t>
      </w:r>
      <w:r>
        <w:rPr/>
        <w:t>the</w:t>
      </w:r>
      <w:r>
        <w:rPr>
          <w:spacing w:val="-6"/>
        </w:rPr>
        <w:t> </w:t>
      </w:r>
      <w:r>
        <w:rPr/>
        <w:t>World</w:t>
      </w:r>
      <w:r>
        <w:rPr>
          <w:spacing w:val="-7"/>
        </w:rPr>
        <w:t> </w:t>
      </w:r>
      <w:r>
        <w:rPr/>
        <w:t>Health</w:t>
      </w:r>
      <w:r>
        <w:rPr>
          <w:spacing w:val="-7"/>
        </w:rPr>
        <w:t> </w:t>
      </w:r>
      <w:r>
        <w:rPr/>
        <w:t>Organization Disability Assessment Schedule, which can be helpful at identifying the effect on different domains of functionality. Given the complex and multisystemic nature of POTS, consideration should be given to extended appointment times to deal with the needs of this population. The use of specialist nurses to assist with diagnosis, education, and symptom management can be helpful for support of extended appointment times. Referral to other allied health professionals is also of critical importance and is dependent on individualised patient</w:t>
      </w:r>
      <w:r>
        <w:rPr>
          <w:spacing w:val="31"/>
        </w:rPr>
        <w:t> </w:t>
      </w:r>
      <w:r>
        <w:rPr/>
        <w:t>need.</w:t>
      </w:r>
    </w:p>
    <w:p>
      <w:pPr>
        <w:pStyle w:val="BodyText"/>
        <w:spacing w:before="1"/>
        <w:rPr>
          <w:sz w:val="30"/>
        </w:rPr>
      </w:pPr>
    </w:p>
    <w:p>
      <w:pPr>
        <w:pStyle w:val="Heading2"/>
        <w:ind w:left="116"/>
      </w:pPr>
      <w:r>
        <w:rPr>
          <w:color w:val="0093D6"/>
        </w:rPr>
        <w:t>Interpretation and Diagnostic Subtleties</w:t>
      </w:r>
    </w:p>
    <w:p>
      <w:pPr>
        <w:pStyle w:val="BodyText"/>
        <w:spacing w:line="256" w:lineRule="auto" w:before="39"/>
        <w:ind w:left="116" w:right="253"/>
        <w:jc w:val="both"/>
      </w:pPr>
      <w:r>
        <w:rPr/>
        <w:t>A sustained heart rate increase should be seen on at least two</w:t>
      </w:r>
      <w:r>
        <w:rPr>
          <w:spacing w:val="-5"/>
        </w:rPr>
        <w:t> </w:t>
      </w:r>
      <w:r>
        <w:rPr/>
        <w:t>consecutive</w:t>
      </w:r>
      <w:r>
        <w:rPr>
          <w:spacing w:val="-5"/>
        </w:rPr>
        <w:t> </w:t>
      </w:r>
      <w:r>
        <w:rPr/>
        <w:t>measurements</w:t>
      </w:r>
      <w:r>
        <w:rPr>
          <w:spacing w:val="-5"/>
        </w:rPr>
        <w:t> </w:t>
      </w:r>
      <w:r>
        <w:rPr/>
        <w:t>that</w:t>
      </w:r>
      <w:r>
        <w:rPr>
          <w:spacing w:val="-5"/>
        </w:rPr>
        <w:t> </w:t>
      </w:r>
      <w:r>
        <w:rPr/>
        <w:t>are</w:t>
      </w:r>
      <w:r>
        <w:rPr>
          <w:spacing w:val="-5"/>
        </w:rPr>
        <w:t> </w:t>
      </w:r>
      <w:r>
        <w:rPr/>
        <w:t>1</w:t>
      </w:r>
      <w:r>
        <w:rPr>
          <w:spacing w:val="-4"/>
        </w:rPr>
        <w:t> </w:t>
      </w:r>
      <w:r>
        <w:rPr/>
        <w:t>minute</w:t>
      </w:r>
      <w:r>
        <w:rPr>
          <w:spacing w:val="-5"/>
        </w:rPr>
        <w:t> </w:t>
      </w:r>
      <w:r>
        <w:rPr/>
        <w:t>apart</w:t>
      </w:r>
      <w:r>
        <w:rPr>
          <w:spacing w:val="-5"/>
        </w:rPr>
        <w:t> </w:t>
      </w:r>
      <w:r>
        <w:rPr/>
        <w:t>[</w:t>
      </w:r>
      <w:hyperlink w:history="true" w:anchor="_bookmark24">
        <w:r>
          <w:rPr>
            <w:color w:val="127EAD"/>
          </w:rPr>
          <w:t>3</w:t>
        </w:r>
      </w:hyperlink>
      <w:r>
        <w:rPr/>
        <w:t>].</w:t>
      </w:r>
      <w:r>
        <w:rPr>
          <w:spacing w:val="-5"/>
        </w:rPr>
        <w:t> </w:t>
      </w:r>
      <w:r>
        <w:rPr/>
        <w:t>If a</w:t>
      </w:r>
      <w:r>
        <w:rPr>
          <w:spacing w:val="16"/>
        </w:rPr>
        <w:t> </w:t>
      </w:r>
      <w:r>
        <w:rPr/>
        <w:t>patient</w:t>
      </w:r>
      <w:r>
        <w:rPr>
          <w:spacing w:val="16"/>
        </w:rPr>
        <w:t> </w:t>
      </w:r>
      <w:r>
        <w:rPr/>
        <w:t>has</w:t>
      </w:r>
      <w:r>
        <w:rPr>
          <w:spacing w:val="17"/>
        </w:rPr>
        <w:t> </w:t>
      </w:r>
      <w:r>
        <w:rPr/>
        <w:t>a</w:t>
      </w:r>
      <w:r>
        <w:rPr>
          <w:spacing w:val="16"/>
        </w:rPr>
        <w:t> </w:t>
      </w:r>
      <w:r>
        <w:rPr/>
        <w:t>supine</w:t>
      </w:r>
      <w:r>
        <w:rPr>
          <w:spacing w:val="16"/>
        </w:rPr>
        <w:t> </w:t>
      </w:r>
      <w:r>
        <w:rPr/>
        <w:t>heart</w:t>
      </w:r>
      <w:r>
        <w:rPr>
          <w:spacing w:val="17"/>
        </w:rPr>
        <w:t> </w:t>
      </w:r>
      <w:r>
        <w:rPr/>
        <w:t>rate</w:t>
      </w:r>
      <w:r>
        <w:rPr>
          <w:spacing w:val="16"/>
        </w:rPr>
        <w:t> </w:t>
      </w:r>
      <w:r>
        <w:rPr/>
        <w:t>at</w:t>
      </w:r>
      <w:r>
        <w:rPr>
          <w:spacing w:val="16"/>
        </w:rPr>
        <w:t> </w:t>
      </w:r>
      <w:r>
        <w:rPr/>
        <w:t>rest</w:t>
      </w:r>
      <w:r>
        <w:rPr>
          <w:spacing w:val="16"/>
        </w:rPr>
        <w:t> </w:t>
      </w:r>
      <w:r>
        <w:rPr/>
        <w:t>below</w:t>
      </w:r>
      <w:r>
        <w:rPr>
          <w:spacing w:val="15"/>
        </w:rPr>
        <w:t> </w:t>
      </w:r>
      <w:r>
        <w:rPr/>
        <w:t>60</w:t>
      </w:r>
      <w:r>
        <w:rPr>
          <w:spacing w:val="17"/>
        </w:rPr>
        <w:t> </w:t>
      </w:r>
      <w:r>
        <w:rPr/>
        <w:t>bpm,</w:t>
      </w:r>
      <w:r>
        <w:rPr>
          <w:spacing w:val="16"/>
        </w:rPr>
        <w:t> </w:t>
      </w:r>
      <w:r>
        <w:rPr/>
        <w:t>the</w:t>
      </w:r>
    </w:p>
    <w:p>
      <w:pPr>
        <w:pStyle w:val="BodyText"/>
        <w:spacing w:line="256" w:lineRule="auto" w:before="94"/>
        <w:ind w:left="116" w:right="104"/>
        <w:jc w:val="both"/>
      </w:pPr>
      <w:r>
        <w:rPr/>
        <w:br w:type="column"/>
      </w:r>
      <w:r>
        <w:rPr/>
        <w:t>threshold increase is generally calculated from 60 bpm to avoid over diagnosis. For example, a heart rate at rest of 55 bpm would require a heart rate during standing of 90 bpm to meet diagnostic criteria [</w:t>
      </w:r>
      <w:hyperlink w:history="true" w:anchor="_bookmark24">
        <w:r>
          <w:rPr>
            <w:color w:val="127EAD"/>
          </w:rPr>
          <w:t>3</w:t>
        </w:r>
      </w:hyperlink>
      <w:r>
        <w:rPr/>
        <w:t>]. Several overlapping or mimicking conditions must also be considered (</w:t>
      </w:r>
      <w:hyperlink w:history="true" w:anchor="_bookmark18">
        <w:r>
          <w:rPr>
            <w:color w:val="127EAD"/>
          </w:rPr>
          <w:t>Figure 2</w:t>
        </w:r>
      </w:hyperlink>
      <w:r>
        <w:rPr/>
        <w:t>). Transient immediate orthostatic hypotension, a distinct but related disorder, presents as a transient drop in systolic   BP</w:t>
      </w:r>
    </w:p>
    <w:p>
      <w:pPr>
        <w:pStyle w:val="BodyText"/>
        <w:spacing w:line="256" w:lineRule="auto"/>
        <w:ind w:left="116" w:right="104"/>
        <w:jc w:val="both"/>
      </w:pPr>
      <w:r>
        <w:rPr>
          <w:rFonts w:ascii="Arial" w:hAnsi="Arial"/>
        </w:rPr>
        <w:t>≥</w:t>
      </w:r>
      <w:r>
        <w:rPr/>
        <w:t>40 mmHg (or diastolic </w:t>
      </w:r>
      <w:r>
        <w:rPr>
          <w:rFonts w:ascii="Arial" w:hAnsi="Arial"/>
        </w:rPr>
        <w:t>≥</w:t>
      </w:r>
      <w:r>
        <w:rPr/>
        <w:t>20 mmHg) within the first 15 seconds of standing. It is not part of the diagnostic criteria for POTS and can only be captured using beat-to-beat monitoring. However, it may coexist with POTS and contribute to early symptom  onset.</w:t>
      </w:r>
    </w:p>
    <w:p>
      <w:pPr>
        <w:pStyle w:val="BodyText"/>
        <w:spacing w:line="256" w:lineRule="auto"/>
        <w:ind w:left="116" w:right="104" w:firstLine="180"/>
        <w:jc w:val="both"/>
      </w:pPr>
      <w:r>
        <w:rPr/>
        <w:t>In </w:t>
      </w:r>
      <w:r>
        <w:rPr>
          <w:spacing w:val="-4"/>
        </w:rPr>
        <w:t>contrast, sustained orthostatic hypotension, where </w:t>
      </w:r>
      <w:r>
        <w:rPr>
          <w:spacing w:val="-3"/>
        </w:rPr>
        <w:t>the </w:t>
      </w:r>
      <w:r>
        <w:rPr>
          <w:spacing w:val="-4"/>
        </w:rPr>
        <w:t>BP </w:t>
      </w:r>
      <w:r>
        <w:rPr>
          <w:spacing w:val="-3"/>
        </w:rPr>
        <w:t>drop </w:t>
      </w:r>
      <w:r>
        <w:rPr>
          <w:spacing w:val="-4"/>
        </w:rPr>
        <w:t>initiates </w:t>
      </w:r>
      <w:r>
        <w:rPr>
          <w:spacing w:val="-3"/>
        </w:rPr>
        <w:t>and </w:t>
      </w:r>
      <w:r>
        <w:rPr>
          <w:spacing w:val="-4"/>
        </w:rPr>
        <w:t>persists </w:t>
      </w:r>
      <w:r>
        <w:rPr/>
        <w:t>in </w:t>
      </w:r>
      <w:r>
        <w:rPr>
          <w:spacing w:val="-3"/>
        </w:rPr>
        <w:t>the first </w:t>
      </w:r>
      <w:r>
        <w:rPr/>
        <w:t>3 </w:t>
      </w:r>
      <w:r>
        <w:rPr>
          <w:spacing w:val="-4"/>
        </w:rPr>
        <w:t>minutes, excludes </w:t>
      </w:r>
      <w:r>
        <w:rPr/>
        <w:t>a </w:t>
      </w:r>
      <w:r>
        <w:rPr>
          <w:spacing w:val="-4"/>
        </w:rPr>
        <w:t>diagnosis </w:t>
      </w:r>
      <w:r>
        <w:rPr/>
        <w:t>of </w:t>
      </w:r>
      <w:r>
        <w:rPr>
          <w:spacing w:val="-3"/>
        </w:rPr>
        <w:t>POTS and </w:t>
      </w:r>
      <w:r>
        <w:rPr>
          <w:spacing w:val="-4"/>
        </w:rPr>
        <w:t>instead indicates </w:t>
      </w:r>
      <w:r>
        <w:rPr/>
        <w:t>a </w:t>
      </w:r>
      <w:r>
        <w:rPr>
          <w:spacing w:val="-4"/>
        </w:rPr>
        <w:t>possible primary autonomic failure. Late-onset hypotension occurring alongside sustained tachycardia </w:t>
      </w:r>
      <w:r>
        <w:rPr>
          <w:spacing w:val="-3"/>
        </w:rPr>
        <w:t>does not </w:t>
      </w:r>
      <w:r>
        <w:rPr>
          <w:spacing w:val="-4"/>
        </w:rPr>
        <w:t>preclude </w:t>
      </w:r>
      <w:r>
        <w:rPr/>
        <w:t>a </w:t>
      </w:r>
      <w:r>
        <w:rPr>
          <w:spacing w:val="-3"/>
        </w:rPr>
        <w:t>POTS </w:t>
      </w:r>
      <w:r>
        <w:rPr>
          <w:spacing w:val="-4"/>
        </w:rPr>
        <w:t>diagnosis and </w:t>
      </w:r>
      <w:r>
        <w:rPr>
          <w:spacing w:val="-3"/>
        </w:rPr>
        <w:t>may reflect </w:t>
      </w:r>
      <w:r>
        <w:rPr>
          <w:spacing w:val="-4"/>
        </w:rPr>
        <w:t>inadequate vascular compensation </w:t>
      </w:r>
      <w:r>
        <w:rPr/>
        <w:t>or </w:t>
      </w:r>
      <w:r>
        <w:rPr>
          <w:spacing w:val="-4"/>
        </w:rPr>
        <w:t>hypo- volaemia.</w:t>
      </w:r>
      <w:r>
        <w:rPr>
          <w:spacing w:val="-20"/>
        </w:rPr>
        <w:t> </w:t>
      </w:r>
      <w:r>
        <w:rPr/>
        <w:t>If</w:t>
      </w:r>
      <w:r>
        <w:rPr>
          <w:spacing w:val="-22"/>
        </w:rPr>
        <w:t> </w:t>
      </w:r>
      <w:r>
        <w:rPr>
          <w:spacing w:val="-3"/>
        </w:rPr>
        <w:t>the</w:t>
      </w:r>
      <w:r>
        <w:rPr>
          <w:spacing w:val="-21"/>
        </w:rPr>
        <w:t> </w:t>
      </w:r>
      <w:r>
        <w:rPr>
          <w:spacing w:val="-4"/>
        </w:rPr>
        <w:t>heart</w:t>
      </w:r>
      <w:r>
        <w:rPr>
          <w:spacing w:val="-22"/>
        </w:rPr>
        <w:t> </w:t>
      </w:r>
      <w:r>
        <w:rPr>
          <w:spacing w:val="-3"/>
        </w:rPr>
        <w:t>rate</w:t>
      </w:r>
      <w:r>
        <w:rPr>
          <w:spacing w:val="-21"/>
        </w:rPr>
        <w:t> </w:t>
      </w:r>
      <w:r>
        <w:rPr>
          <w:spacing w:val="-3"/>
        </w:rPr>
        <w:t>and</w:t>
      </w:r>
      <w:r>
        <w:rPr>
          <w:spacing w:val="-21"/>
        </w:rPr>
        <w:t> </w:t>
      </w:r>
      <w:r>
        <w:rPr/>
        <w:t>BP</w:t>
      </w:r>
      <w:r>
        <w:rPr>
          <w:spacing w:val="-21"/>
        </w:rPr>
        <w:t> </w:t>
      </w:r>
      <w:r>
        <w:rPr>
          <w:spacing w:val="-3"/>
        </w:rPr>
        <w:t>fall</w:t>
      </w:r>
      <w:r>
        <w:rPr>
          <w:spacing w:val="-21"/>
        </w:rPr>
        <w:t> </w:t>
      </w:r>
      <w:r>
        <w:rPr>
          <w:spacing w:val="-4"/>
        </w:rPr>
        <w:t>together,</w:t>
      </w:r>
      <w:r>
        <w:rPr>
          <w:spacing w:val="-22"/>
        </w:rPr>
        <w:t> </w:t>
      </w:r>
      <w:r>
        <w:rPr>
          <w:spacing w:val="-4"/>
        </w:rPr>
        <w:t>neurocardiogenic syncope should </w:t>
      </w:r>
      <w:r>
        <w:rPr/>
        <w:t>be </w:t>
      </w:r>
      <w:r>
        <w:rPr>
          <w:spacing w:val="-4"/>
        </w:rPr>
        <w:t>considered. Conversely, </w:t>
      </w:r>
      <w:r>
        <w:rPr/>
        <w:t>if </w:t>
      </w:r>
      <w:r>
        <w:rPr>
          <w:spacing w:val="-4"/>
        </w:rPr>
        <w:t>systolic </w:t>
      </w:r>
      <w:r>
        <w:rPr/>
        <w:t>BP </w:t>
      </w:r>
      <w:r>
        <w:rPr>
          <w:spacing w:val="-4"/>
        </w:rPr>
        <w:t>rises </w:t>
      </w:r>
      <w:r>
        <w:rPr>
          <w:spacing w:val="-3"/>
        </w:rPr>
        <w:t>with</w:t>
      </w:r>
      <w:r>
        <w:rPr>
          <w:spacing w:val="-22"/>
        </w:rPr>
        <w:t> </w:t>
      </w:r>
      <w:r>
        <w:rPr>
          <w:spacing w:val="-4"/>
        </w:rPr>
        <w:t>standing,</w:t>
      </w:r>
      <w:r>
        <w:rPr>
          <w:spacing w:val="-24"/>
        </w:rPr>
        <w:t> </w:t>
      </w:r>
      <w:r>
        <w:rPr>
          <w:spacing w:val="-3"/>
        </w:rPr>
        <w:t>this</w:t>
      </w:r>
      <w:r>
        <w:rPr>
          <w:spacing w:val="-22"/>
        </w:rPr>
        <w:t> </w:t>
      </w:r>
      <w:r>
        <w:rPr>
          <w:spacing w:val="-3"/>
        </w:rPr>
        <w:t>may</w:t>
      </w:r>
      <w:r>
        <w:rPr>
          <w:spacing w:val="-24"/>
        </w:rPr>
        <w:t> </w:t>
      </w:r>
      <w:r>
        <w:rPr>
          <w:spacing w:val="-4"/>
        </w:rPr>
        <w:t>indicate</w:t>
      </w:r>
      <w:r>
        <w:rPr>
          <w:spacing w:val="-23"/>
        </w:rPr>
        <w:t> </w:t>
      </w:r>
      <w:r>
        <w:rPr>
          <w:spacing w:val="-4"/>
        </w:rPr>
        <w:t>postural</w:t>
      </w:r>
      <w:r>
        <w:rPr>
          <w:spacing w:val="-23"/>
        </w:rPr>
        <w:t> </w:t>
      </w:r>
      <w:r>
        <w:rPr>
          <w:spacing w:val="-4"/>
        </w:rPr>
        <w:t>hypertension,</w:t>
      </w:r>
      <w:r>
        <w:rPr>
          <w:spacing w:val="-22"/>
        </w:rPr>
        <w:t> </w:t>
      </w:r>
      <w:r>
        <w:rPr/>
        <w:t>a</w:t>
      </w:r>
      <w:r>
        <w:rPr>
          <w:spacing w:val="-24"/>
        </w:rPr>
        <w:t> </w:t>
      </w:r>
      <w:r>
        <w:rPr>
          <w:spacing w:val="-4"/>
        </w:rPr>
        <w:t>feature </w:t>
      </w:r>
      <w:r>
        <w:rPr/>
        <w:t>of</w:t>
      </w:r>
      <w:r>
        <w:rPr>
          <w:spacing w:val="-18"/>
        </w:rPr>
        <w:t> </w:t>
      </w:r>
      <w:r>
        <w:rPr>
          <w:spacing w:val="-4"/>
        </w:rPr>
        <w:t>hyperadrenergic</w:t>
      </w:r>
      <w:r>
        <w:rPr>
          <w:spacing w:val="-18"/>
        </w:rPr>
        <w:t> </w:t>
      </w:r>
      <w:r>
        <w:rPr>
          <w:spacing w:val="-3"/>
        </w:rPr>
        <w:t>POTS</w:t>
      </w:r>
      <w:r>
        <w:rPr>
          <w:spacing w:val="-18"/>
        </w:rPr>
        <w:t> </w:t>
      </w:r>
      <w:r>
        <w:rPr>
          <w:spacing w:val="-4"/>
        </w:rPr>
        <w:t>driven</w:t>
      </w:r>
      <w:r>
        <w:rPr>
          <w:spacing w:val="-18"/>
        </w:rPr>
        <w:t> </w:t>
      </w:r>
      <w:r>
        <w:rPr/>
        <w:t>by</w:t>
      </w:r>
      <w:r>
        <w:rPr>
          <w:spacing w:val="-18"/>
        </w:rPr>
        <w:t> </w:t>
      </w:r>
      <w:r>
        <w:rPr>
          <w:spacing w:val="-4"/>
        </w:rPr>
        <w:t>excessive</w:t>
      </w:r>
      <w:r>
        <w:rPr>
          <w:spacing w:val="-18"/>
        </w:rPr>
        <w:t> </w:t>
      </w:r>
      <w:r>
        <w:rPr>
          <w:spacing w:val="-4"/>
        </w:rPr>
        <w:t>sympathetic</w:t>
      </w:r>
      <w:r>
        <w:rPr>
          <w:spacing w:val="-17"/>
        </w:rPr>
        <w:t> </w:t>
      </w:r>
      <w:r>
        <w:rPr>
          <w:spacing w:val="-4"/>
        </w:rPr>
        <w:t>tone. Given </w:t>
      </w:r>
      <w:r>
        <w:rPr>
          <w:spacing w:val="-3"/>
        </w:rPr>
        <w:t>the </w:t>
      </w:r>
      <w:r>
        <w:rPr>
          <w:spacing w:val="-4"/>
        </w:rPr>
        <w:t>fluctuating nature </w:t>
      </w:r>
      <w:r>
        <w:rPr/>
        <w:t>of </w:t>
      </w:r>
      <w:r>
        <w:rPr>
          <w:spacing w:val="-4"/>
        </w:rPr>
        <w:t>POTS, </w:t>
      </w:r>
      <w:r>
        <w:rPr/>
        <w:t>a </w:t>
      </w:r>
      <w:r>
        <w:rPr>
          <w:spacing w:val="-4"/>
        </w:rPr>
        <w:t>single negative active stand </w:t>
      </w:r>
      <w:r>
        <w:rPr>
          <w:spacing w:val="-3"/>
        </w:rPr>
        <w:t>test does not </w:t>
      </w:r>
      <w:r>
        <w:rPr>
          <w:spacing w:val="-4"/>
        </w:rPr>
        <w:t>exclude </w:t>
      </w:r>
      <w:r>
        <w:rPr>
          <w:spacing w:val="-3"/>
        </w:rPr>
        <w:t>the </w:t>
      </w:r>
      <w:r>
        <w:rPr>
          <w:spacing w:val="-4"/>
        </w:rPr>
        <w:t>diagnosis </w:t>
      </w:r>
      <w:r>
        <w:rPr>
          <w:spacing w:val="-3"/>
        </w:rPr>
        <w:t>and may </w:t>
      </w:r>
      <w:r>
        <w:rPr>
          <w:spacing w:val="-4"/>
        </w:rPr>
        <w:t>warrant repeat testing. </w:t>
      </w:r>
      <w:r>
        <w:rPr/>
        <w:t>In </w:t>
      </w:r>
      <w:r>
        <w:rPr>
          <w:spacing w:val="-3"/>
        </w:rPr>
        <w:t>such </w:t>
      </w:r>
      <w:r>
        <w:rPr>
          <w:spacing w:val="-4"/>
        </w:rPr>
        <w:t>cases, especially where clinical suspicion remains high, ambulatory heart </w:t>
      </w:r>
      <w:r>
        <w:rPr>
          <w:spacing w:val="-3"/>
        </w:rPr>
        <w:t>rate </w:t>
      </w:r>
      <w:r>
        <w:rPr>
          <w:spacing w:val="-4"/>
        </w:rPr>
        <w:t>monitoring </w:t>
      </w:r>
      <w:r>
        <w:rPr>
          <w:spacing w:val="-3"/>
        </w:rPr>
        <w:t>can </w:t>
      </w:r>
      <w:r>
        <w:rPr>
          <w:spacing w:val="-4"/>
        </w:rPr>
        <w:t>provide additional insight </w:t>
      </w:r>
      <w:r>
        <w:rPr>
          <w:spacing w:val="-3"/>
        </w:rPr>
        <w:t>and use </w:t>
      </w:r>
      <w:r>
        <w:rPr/>
        <w:t>of </w:t>
      </w:r>
      <w:r>
        <w:rPr>
          <w:spacing w:val="-4"/>
        </w:rPr>
        <w:t>patient-reported outcome </w:t>
      </w:r>
      <w:r>
        <w:rPr>
          <w:spacing w:val="-3"/>
        </w:rPr>
        <w:t>mea- </w:t>
      </w:r>
      <w:r>
        <w:rPr>
          <w:spacing w:val="-4"/>
        </w:rPr>
        <w:t>sures </w:t>
      </w:r>
      <w:r>
        <w:rPr>
          <w:spacing w:val="-3"/>
        </w:rPr>
        <w:t>can </w:t>
      </w:r>
      <w:r>
        <w:rPr>
          <w:spacing w:val="-4"/>
        </w:rPr>
        <w:t>further assist (</w:t>
      </w:r>
      <w:hyperlink w:history="true" w:anchor="_bookmark18">
        <w:r>
          <w:rPr>
            <w:color w:val="127EAD"/>
            <w:spacing w:val="-4"/>
          </w:rPr>
          <w:t>Figure</w:t>
        </w:r>
        <w:r>
          <w:rPr>
            <w:color w:val="127EAD"/>
            <w:spacing w:val="1"/>
          </w:rPr>
          <w:t> </w:t>
        </w:r>
        <w:r>
          <w:rPr>
            <w:color w:val="127EAD"/>
            <w:spacing w:val="-4"/>
          </w:rPr>
          <w:t>2</w:t>
        </w:r>
      </w:hyperlink>
      <w:r>
        <w:rPr>
          <w:spacing w:val="-4"/>
        </w:rPr>
        <w:t>).</w:t>
      </w:r>
    </w:p>
    <w:p>
      <w:pPr>
        <w:pStyle w:val="BodyText"/>
        <w:rPr>
          <w:sz w:val="32"/>
        </w:rPr>
      </w:pPr>
    </w:p>
    <w:p>
      <w:pPr>
        <w:pStyle w:val="Heading1"/>
        <w:spacing w:before="1"/>
        <w:ind w:left="117"/>
      </w:pPr>
      <w:r>
        <w:rPr>
          <w:color w:val="E53527"/>
        </w:rPr>
        <w:t>Management</w:t>
      </w:r>
    </w:p>
    <w:p>
      <w:pPr>
        <w:pStyle w:val="BodyText"/>
        <w:spacing w:line="256" w:lineRule="auto" w:before="107"/>
        <w:ind w:left="117" w:right="104"/>
        <w:jc w:val="both"/>
      </w:pPr>
      <w:r>
        <w:rPr/>
        <w:t>POTS is a chronic condition, which may be relapsing and remitting in some patients, that cannot typically be “cured.” Holistic treatment goals include education of the patient, suppression of symptoms, maintenance of physical condi- tioning, and ultimately improving the overall quality of life. In most patients, the underlying physiological abnormality that drives the excessive heart rate with upright posture is inadequate venous return. Management usually includes initial non-pharmacologic measures, followed by pharma- cologic</w:t>
      </w:r>
      <w:r>
        <w:rPr>
          <w:spacing w:val="-7"/>
        </w:rPr>
        <w:t> </w:t>
      </w:r>
      <w:r>
        <w:rPr/>
        <w:t>treatments</w:t>
      </w:r>
      <w:r>
        <w:rPr>
          <w:spacing w:val="-7"/>
        </w:rPr>
        <w:t> </w:t>
      </w:r>
      <w:r>
        <w:rPr/>
        <w:t>to</w:t>
      </w:r>
      <w:r>
        <w:rPr>
          <w:spacing w:val="-8"/>
        </w:rPr>
        <w:t> </w:t>
      </w:r>
      <w:r>
        <w:rPr/>
        <w:t>enhance</w:t>
      </w:r>
      <w:r>
        <w:rPr>
          <w:spacing w:val="-8"/>
        </w:rPr>
        <w:t> </w:t>
      </w:r>
      <w:r>
        <w:rPr/>
        <w:t>vascular</w:t>
      </w:r>
      <w:r>
        <w:rPr>
          <w:spacing w:val="-7"/>
        </w:rPr>
        <w:t> </w:t>
      </w:r>
      <w:r>
        <w:rPr/>
        <w:t>tone,</w:t>
      </w:r>
      <w:r>
        <w:rPr>
          <w:spacing w:val="-7"/>
        </w:rPr>
        <w:t> </w:t>
      </w:r>
      <w:r>
        <w:rPr/>
        <w:t>increase</w:t>
      </w:r>
      <w:r>
        <w:rPr>
          <w:spacing w:val="-7"/>
        </w:rPr>
        <w:t> </w:t>
      </w:r>
      <w:r>
        <w:rPr/>
        <w:t>plasma volume and heart rate control, and subsequent individually titrated exercises as tolerable (</w:t>
      </w:r>
      <w:hyperlink w:history="true" w:anchor="_bookmark19">
        <w:r>
          <w:rPr>
            <w:color w:val="127EAD"/>
          </w:rPr>
          <w:t>Figure </w:t>
        </w:r>
        <w:r>
          <w:rPr>
            <w:color w:val="127EAD"/>
            <w:spacing w:val="11"/>
          </w:rPr>
          <w:t> </w:t>
        </w:r>
        <w:r>
          <w:rPr>
            <w:color w:val="127EAD"/>
          </w:rPr>
          <w:t>3</w:t>
        </w:r>
      </w:hyperlink>
      <w:r>
        <w:rPr/>
        <w:t>).</w:t>
      </w:r>
    </w:p>
    <w:p>
      <w:pPr>
        <w:pStyle w:val="BodyText"/>
        <w:spacing w:before="11"/>
      </w:pPr>
    </w:p>
    <w:p>
      <w:pPr>
        <w:pStyle w:val="Heading2"/>
        <w:ind w:left="117"/>
      </w:pPr>
      <w:r>
        <w:rPr>
          <w:color w:val="0093D6"/>
        </w:rPr>
        <w:t>Non-Pharmacologic Treatments</w:t>
      </w:r>
    </w:p>
    <w:p>
      <w:pPr>
        <w:pStyle w:val="BodyText"/>
        <w:spacing w:line="256" w:lineRule="auto" w:before="39"/>
        <w:ind w:left="117" w:right="104"/>
        <w:jc w:val="both"/>
      </w:pPr>
      <w:r>
        <w:rPr/>
        <w:t>Some drugs can exacerbate orthostatic tachycardia (e.g., stimulants, diuretics, serotonin-norepinephrine reuptake inhibitors) and withdrawal or replacement, when possible, should be considered against their beneficial effects [</w:t>
      </w:r>
      <w:hyperlink w:history="true" w:anchor="_bookmark24">
        <w:r>
          <w:rPr>
            <w:color w:val="127EAD"/>
          </w:rPr>
          <w:t>3</w:t>
        </w:r>
      </w:hyperlink>
      <w:r>
        <w:rPr/>
        <w:t>]. Patients should be counselled about triggers for their POTS to avoid prolonged orthostasis, exposure of heat and humid environments, reducing alcohol and caffeine intake, and reducing heavy meals with large carbohydrate content. The remaining non-pharmacological treatments are focused on increasing cardiac venous return. Patients should be advised to drink 3 L of water per day and to ingest an </w:t>
      </w:r>
      <w:r>
        <w:rPr>
          <w:spacing w:val="10"/>
        </w:rPr>
        <w:t> </w:t>
      </w:r>
      <w:r>
        <w:rPr/>
        <w:t>extra</w:t>
      </w:r>
    </w:p>
    <w:p>
      <w:pPr>
        <w:spacing w:after="0" w:line="256" w:lineRule="auto"/>
        <w:jc w:val="both"/>
        <w:sectPr>
          <w:type w:val="continuous"/>
          <w:pgSz w:w="11910" w:h="15880"/>
          <w:pgMar w:top="660" w:bottom="280" w:left="840" w:right="780"/>
          <w:cols w:num="2" w:equalWidth="0">
            <w:col w:w="5153" w:space="126"/>
            <w:col w:w="5011"/>
          </w:cols>
        </w:sectPr>
      </w:pPr>
    </w:p>
    <w:p>
      <w:pPr>
        <w:pStyle w:val="BodyText"/>
        <w:rPr>
          <w:sz w:val="20"/>
        </w:rPr>
      </w:pPr>
    </w:p>
    <w:p>
      <w:pPr>
        <w:pStyle w:val="BodyText"/>
        <w:spacing w:before="11"/>
        <w:rPr>
          <w:sz w:val="16"/>
        </w:rPr>
      </w:pPr>
    </w:p>
    <w:p>
      <w:pPr>
        <w:pStyle w:val="BodyText"/>
        <w:ind w:left="101"/>
        <w:rPr>
          <w:sz w:val="20"/>
        </w:rPr>
      </w:pPr>
      <w:r>
        <w:rPr>
          <w:sz w:val="20"/>
        </w:rPr>
        <w:pict>
          <v:group style="width:503.65pt;height:307.350pt;mso-position-horizontal-relative:char;mso-position-vertical-relative:line" coordorigin="0,0" coordsize="10073,6147">
            <v:rect style="position:absolute;left:5;top:0;width:10062;height:214" filled="true" fillcolor="#f5f4ea" stroked="false">
              <v:fill type="solid"/>
            </v:rect>
            <v:rect style="position:absolute;left:5;top:214;width:10062;height:5199" filled="true" fillcolor="#f5f4ea" stroked="false">
              <v:fill type="solid"/>
            </v:rect>
            <v:line style="position:absolute" from="5,5414" to="10067,5414" stroked="true" strokeweight="0pt" strokecolor="#f5f4ea">
              <v:stroke dashstyle="solid"/>
            </v:line>
            <v:rect style="position:absolute;left:184;top:5414;width:9704;height:116" filled="true" fillcolor="#f5f4ea" stroked="false">
              <v:fill type="solid"/>
            </v:rect>
            <v:rect style="position:absolute;left:184;top:5529;width:9704;height:219" filled="true" fillcolor="#f5f4ea" stroked="false">
              <v:fill type="solid"/>
            </v:rect>
            <v:rect style="position:absolute;left:184;top:5748;width:9704;height:219" filled="true" fillcolor="#f5f4ea" stroked="false">
              <v:fill type="solid"/>
            </v:rect>
            <v:rect style="position:absolute;left:9888;top:5414;width:179;height:116" filled="true" fillcolor="#f5f4ea" stroked="false">
              <v:fill type="solid"/>
            </v:rect>
            <v:rect style="position:absolute;left:5;top:5414;width:179;height:116" filled="true" fillcolor="#f5f4ea" stroked="false">
              <v:fill type="solid"/>
            </v:rect>
            <v:rect style="position:absolute;left:184;top:5310;width:9704;height:104" filled="true" fillcolor="#f5f4ea" stroked="false">
              <v:fill type="solid"/>
            </v:rect>
            <v:rect style="position:absolute;left:9888;top:5529;width:179;height:219" filled="true" fillcolor="#f5f4ea" stroked="false">
              <v:fill type="solid"/>
            </v:rect>
            <v:rect style="position:absolute;left:5;top:5529;width:179;height:219" filled="true" fillcolor="#f5f4ea" stroked="false">
              <v:fill type="solid"/>
            </v:rect>
            <v:line style="position:absolute" from="5,6141" to="10067,6141" stroked="true" strokeweight=".497986pt" strokecolor="#f5f4ea">
              <v:stroke dashstyle="solid"/>
            </v:line>
            <v:rect style="position:absolute;left:9888;top:5748;width:179;height:399" filled="true" fillcolor="#f5f4ea" stroked="false">
              <v:fill type="solid"/>
            </v:rect>
            <v:rect style="position:absolute;left:5;top:5748;width:179;height:399" filled="true" fillcolor="#f5f4ea" stroked="false">
              <v:fill type="solid"/>
            </v:rect>
            <v:rect style="position:absolute;left:184;top:5968;width:9704;height:179" filled="true" fillcolor="#f5f4ea" stroked="false">
              <v:fill type="solid"/>
            </v:rect>
            <v:shape style="position:absolute;left:485;top:214;width:9103;height:5020" type="#_x0000_t75" stroked="false">
              <v:imagedata r:id="rId24" o:title=""/>
            </v:shape>
            <v:shape style="position:absolute;left:5;top:0;width:10063;height:6147" type="#_x0000_t202" filled="false" stroked="false">
              <v:textbox inset="0,0,0,0">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22" w:lineRule="exact" w:before="161"/>
                      <w:ind w:left="179" w:right="0" w:firstLine="0"/>
                      <w:jc w:val="left"/>
                      <w:rPr>
                        <w:sz w:val="18"/>
                      </w:rPr>
                    </w:pPr>
                    <w:bookmarkStart w:name="Pharmacologic Treatments" w:id="27"/>
                    <w:bookmarkEnd w:id="27"/>
                    <w:r>
                      <w:rPr/>
                    </w:r>
                    <w:bookmarkStart w:name="Vasoconstrictor" w:id="28"/>
                    <w:bookmarkEnd w:id="28"/>
                    <w:r>
                      <w:rPr/>
                    </w:r>
                    <w:bookmarkStart w:name="Heart rate reduction" w:id="29"/>
                    <w:bookmarkEnd w:id="29"/>
                    <w:r>
                      <w:rPr/>
                    </w:r>
                    <w:bookmarkStart w:name="_bookmark19" w:id="30"/>
                    <w:bookmarkEnd w:id="30"/>
                    <w:r>
                      <w:rPr/>
                    </w:r>
                    <w:r>
                      <w:rPr>
                        <w:b/>
                        <w:color w:val="E53527"/>
                        <w:sz w:val="18"/>
                      </w:rPr>
                      <w:t>Figure 3  </w:t>
                    </w:r>
                    <w:r>
                      <w:rPr>
                        <w:sz w:val="18"/>
                      </w:rPr>
                      <w:t>Management algorithm for POTS. Created with  BioRender.</w:t>
                    </w:r>
                  </w:p>
                  <w:p>
                    <w:pPr>
                      <w:spacing w:line="235" w:lineRule="auto" w:before="1"/>
                      <w:ind w:left="179" w:right="0" w:firstLine="0"/>
                      <w:jc w:val="left"/>
                      <w:rPr>
                        <w:sz w:val="18"/>
                      </w:rPr>
                    </w:pPr>
                    <w:r>
                      <w:rPr>
                        <w:sz w:val="18"/>
                      </w:rPr>
                      <w:t>Abbreviations: COMPASS-31, Composite Autonomic Symptom Score; d, day; POTS, postural orthostatic tachycardia syndrome.</w:t>
                    </w:r>
                  </w:p>
                </w:txbxContent>
              </v:textbox>
              <w10:wrap type="none"/>
            </v:shape>
          </v:group>
        </w:pict>
      </w:r>
      <w:r>
        <w:rPr>
          <w:sz w:val="20"/>
        </w:rPr>
      </w:r>
    </w:p>
    <w:p>
      <w:pPr>
        <w:pStyle w:val="BodyText"/>
        <w:spacing w:before="10"/>
        <w:rPr>
          <w:sz w:val="22"/>
        </w:rPr>
      </w:pPr>
    </w:p>
    <w:p>
      <w:pPr>
        <w:spacing w:after="0"/>
        <w:rPr>
          <w:sz w:val="22"/>
        </w:rPr>
        <w:sectPr>
          <w:pgSz w:w="11910" w:h="15880"/>
          <w:pgMar w:header="471" w:footer="0" w:top="840" w:bottom="280" w:left="780" w:right="840"/>
        </w:sectPr>
      </w:pPr>
    </w:p>
    <w:p>
      <w:pPr>
        <w:pStyle w:val="BodyText"/>
        <w:spacing w:line="252" w:lineRule="auto" w:before="69"/>
        <w:ind w:left="106" w:right="251"/>
        <w:jc w:val="both"/>
      </w:pPr>
      <w:r>
        <w:rPr/>
        <w:drawing>
          <wp:anchor distT="0" distB="0" distL="0" distR="0" allowOverlap="1" layoutInCell="1" locked="0" behindDoc="0" simplePos="0" relativeHeight="1432">
            <wp:simplePos x="0" y="0"/>
            <wp:positionH relativeFrom="page">
              <wp:posOffset>3748455</wp:posOffset>
            </wp:positionH>
            <wp:positionV relativeFrom="paragraph">
              <wp:posOffset>89130</wp:posOffset>
            </wp:positionV>
            <wp:extent cx="12649" cy="4396851"/>
            <wp:effectExtent l="0" t="0" r="0" b="0"/>
            <wp:wrapNone/>
            <wp:docPr id="11" name="image15.png" descr=""/>
            <wp:cNvGraphicFramePr>
              <a:graphicFrameLocks noChangeAspect="1"/>
            </wp:cNvGraphicFramePr>
            <a:graphic>
              <a:graphicData uri="http://schemas.openxmlformats.org/drawingml/2006/picture">
                <pic:pic>
                  <pic:nvPicPr>
                    <pic:cNvPr id="12" name="image15.png"/>
                    <pic:cNvPicPr/>
                  </pic:nvPicPr>
                  <pic:blipFill>
                    <a:blip r:embed="rId25" cstate="print"/>
                    <a:stretch>
                      <a:fillRect/>
                    </a:stretch>
                  </pic:blipFill>
                  <pic:spPr>
                    <a:xfrm>
                      <a:off x="0" y="0"/>
                      <a:ext cx="12649" cy="4396851"/>
                    </a:xfrm>
                    <a:prstGeom prst="rect">
                      <a:avLst/>
                    </a:prstGeom>
                  </pic:spPr>
                </pic:pic>
              </a:graphicData>
            </a:graphic>
          </wp:anchor>
        </w:drawing>
      </w:r>
      <w:r>
        <w:rPr/>
        <w:t>10 g of dietary salt (</w:t>
      </w:r>
      <w:r>
        <w:rPr>
          <w:rFonts w:ascii="Lucida Sans Unicode" w:hAnsi="Lucida Sans Unicode"/>
        </w:rPr>
        <w:t>∼</w:t>
      </w:r>
      <w:r>
        <w:rPr/>
        <w:t>2 teaspoons or </w:t>
      </w:r>
      <w:r>
        <w:rPr>
          <w:rFonts w:ascii="Lucida Sans Unicode" w:hAnsi="Lucida Sans Unicode"/>
        </w:rPr>
        <w:t>∼</w:t>
      </w:r>
      <w:r>
        <w:rPr/>
        <w:t>4 g of sodium) to promote sodium retention and blood volume expansion [</w:t>
      </w:r>
      <w:hyperlink w:history="true" w:anchor="_bookmark57">
        <w:r>
          <w:rPr>
            <w:color w:val="127EAD"/>
          </w:rPr>
          <w:t>40</w:t>
        </w:r>
      </w:hyperlink>
      <w:r>
        <w:rPr/>
        <w:t>]. High sodium intake has been shown to expand plasma volume, reduce standing norepinephrine levels, and lower upright heart rate in POTS, even in patients who are “hyperadrenergic.” [</w:t>
      </w:r>
      <w:hyperlink w:history="true" w:anchor="_bookmark42">
        <w:r>
          <w:rPr>
            <w:color w:val="127EAD"/>
          </w:rPr>
          <w:t>25</w:t>
        </w:r>
      </w:hyperlink>
      <w:r>
        <w:rPr/>
        <w:t>] Long-term safety data on high di- etary sodium intake are still needed, so in those with other concurrent cardiovascular risk factors or renal disease or nephrolithiasis, the degree of salt loading would need to  be</w:t>
      </w:r>
    </w:p>
    <w:p>
      <w:pPr>
        <w:pStyle w:val="BodyText"/>
        <w:spacing w:line="256" w:lineRule="auto" w:before="4"/>
        <w:ind w:left="106" w:right="251"/>
        <w:jc w:val="both"/>
      </w:pPr>
      <w:r>
        <w:rPr/>
        <w:t>moderated. Lower body compression garments can help to mitigate the gravity-induced fluid shifts that occur on standing and reduce upright and orthostatic tachycardia in those with POTS [</w:t>
      </w:r>
      <w:hyperlink w:history="true" w:anchor="_bookmark58">
        <w:r>
          <w:rPr>
            <w:color w:val="127EAD"/>
          </w:rPr>
          <w:t>41</w:t>
        </w:r>
      </w:hyperlink>
      <w:r>
        <w:rPr/>
        <w:t>]. Compression of the abdomen was more effective than of legs alone with recent data showing efficacy of non–medical-grade high-waisted compression tights in POTS [</w:t>
      </w:r>
      <w:hyperlink w:history="true" w:anchor="_bookmark59">
        <w:r>
          <w:rPr>
            <w:color w:val="127EAD"/>
          </w:rPr>
          <w:t>42</w:t>
        </w:r>
      </w:hyperlink>
      <w:r>
        <w:rPr/>
        <w:t>]. In some environments, these tights can lead to patient complaints of “overheating,” in which case, compression bicycle or body shaping shorts can be used (</w:t>
      </w:r>
      <w:hyperlink w:history="true" w:anchor="_bookmark19">
        <w:r>
          <w:rPr>
            <w:color w:val="127EAD"/>
          </w:rPr>
          <w:t>Figure 3</w:t>
        </w:r>
      </w:hyperlink>
      <w:r>
        <w:rPr/>
        <w:t>).</w:t>
      </w:r>
    </w:p>
    <w:p>
      <w:pPr>
        <w:pStyle w:val="BodyText"/>
        <w:spacing w:before="4"/>
        <w:rPr>
          <w:sz w:val="19"/>
        </w:rPr>
      </w:pPr>
    </w:p>
    <w:p>
      <w:pPr>
        <w:pStyle w:val="Heading2"/>
      </w:pPr>
      <w:r>
        <w:rPr>
          <w:color w:val="0093D6"/>
        </w:rPr>
        <w:t>Pharmacologic Treatments</w:t>
      </w:r>
    </w:p>
    <w:p>
      <w:pPr>
        <w:pStyle w:val="BodyText"/>
        <w:spacing w:line="256" w:lineRule="auto" w:before="39"/>
        <w:ind w:left="106" w:right="253"/>
        <w:jc w:val="both"/>
      </w:pPr>
      <w:r>
        <w:rPr/>
        <w:t>Pharmacologic treatments are usually required by most</w:t>
      </w:r>
      <w:r>
        <w:rPr>
          <w:spacing w:val="-12"/>
        </w:rPr>
        <w:t> </w:t>
      </w:r>
      <w:r>
        <w:rPr/>
        <w:t>(but not all) patients with POTS and should be layered on top of the non-pharmacological strategies. No pharmacologic therapies have been approved specifically for POTS and many of the drugs discussed are used off label (</w:t>
      </w:r>
      <w:hyperlink w:history="true" w:anchor="_bookmark20">
        <w:r>
          <w:rPr>
            <w:color w:val="127EAD"/>
          </w:rPr>
          <w:t>Table 2</w:t>
        </w:r>
      </w:hyperlink>
      <w:r>
        <w:rPr>
          <w:color w:val="127EAD"/>
        </w:rPr>
        <w:t> </w:t>
      </w:r>
      <w:r>
        <w:rPr/>
        <w:t>and </w:t>
      </w:r>
      <w:hyperlink w:history="true" w:anchor="_bookmark19">
        <w:r>
          <w:rPr>
            <w:color w:val="127EAD"/>
          </w:rPr>
          <w:t>Figure 3</w:t>
        </w:r>
      </w:hyperlink>
      <w:r>
        <w:rPr/>
        <w:t>). To date, robust multicentre  randomised controlled trials of treatment modalities remain lacking [</w:t>
      </w:r>
      <w:hyperlink w:history="true" w:anchor="_bookmark60">
        <w:r>
          <w:rPr>
            <w:color w:val="127EAD"/>
          </w:rPr>
          <w:t>43</w:t>
        </w:r>
      </w:hyperlink>
      <w:r>
        <w:rPr/>
        <w:t>,</w:t>
      </w:r>
      <w:hyperlink w:history="true" w:anchor="_bookmark61">
        <w:r>
          <w:rPr>
            <w:color w:val="127EAD"/>
          </w:rPr>
          <w:t>44</w:t>
        </w:r>
      </w:hyperlink>
      <w:r>
        <w:rPr/>
        <w:t>]. Recognising underlying phenotypes is an</w:t>
      </w:r>
      <w:r>
        <w:rPr>
          <w:spacing w:val="16"/>
        </w:rPr>
        <w:t> </w:t>
      </w:r>
      <w:r>
        <w:rPr/>
        <w:t>important</w:t>
      </w:r>
    </w:p>
    <w:p>
      <w:pPr>
        <w:pStyle w:val="BodyText"/>
        <w:spacing w:line="256" w:lineRule="auto" w:before="94"/>
        <w:ind w:left="106" w:right="114"/>
        <w:jc w:val="both"/>
      </w:pPr>
      <w:r>
        <w:rPr/>
        <w:br w:type="column"/>
      </w:r>
      <w:r>
        <w:rPr/>
        <w:t>consideration for guiding therapy. Patients with low supine BP or clear hypovolaemia may benefit from volume expansion and vasoconstriction. Those with high supine heart rates or increased 24-hour averages may reflect a hyperadrenergic phenotype, where rate control may be more appropriate. Adjunctive symptom scoring methods, such as the Malmö POTS symptom score, can be helpful in quantifying symptom burden and tracking treatment response, particularly, in multidisciplinary settings where nurse-led assessments are used.</w:t>
      </w:r>
    </w:p>
    <w:p>
      <w:pPr>
        <w:pStyle w:val="BodyText"/>
        <w:spacing w:before="3"/>
        <w:rPr>
          <w:sz w:val="16"/>
        </w:rPr>
      </w:pPr>
    </w:p>
    <w:p>
      <w:pPr>
        <w:pStyle w:val="Heading3"/>
      </w:pPr>
      <w:r>
        <w:rPr/>
        <w:t>Vasoconstrictor</w:t>
      </w:r>
    </w:p>
    <w:p>
      <w:pPr>
        <w:pStyle w:val="BodyText"/>
        <w:spacing w:line="256" w:lineRule="auto"/>
        <w:ind w:left="106" w:right="114"/>
        <w:jc w:val="both"/>
      </w:pPr>
      <w:r>
        <w:rPr/>
        <w:t>Midodrine</w:t>
      </w:r>
      <w:r>
        <w:rPr>
          <w:spacing w:val="-5"/>
        </w:rPr>
        <w:t> </w:t>
      </w:r>
      <w:r>
        <w:rPr/>
        <w:t>(2.5–10</w:t>
      </w:r>
      <w:r>
        <w:rPr>
          <w:spacing w:val="-4"/>
        </w:rPr>
        <w:t> </w:t>
      </w:r>
      <w:r>
        <w:rPr/>
        <w:t>mg</w:t>
      </w:r>
      <w:r>
        <w:rPr>
          <w:spacing w:val="-5"/>
        </w:rPr>
        <w:t> </w:t>
      </w:r>
      <w:r>
        <w:rPr/>
        <w:t>every</w:t>
      </w:r>
      <w:r>
        <w:rPr>
          <w:spacing w:val="-4"/>
        </w:rPr>
        <w:t> </w:t>
      </w:r>
      <w:r>
        <w:rPr/>
        <w:t>3–4</w:t>
      </w:r>
      <w:r>
        <w:rPr>
          <w:spacing w:val="-5"/>
        </w:rPr>
        <w:t> </w:t>
      </w:r>
      <w:r>
        <w:rPr/>
        <w:t>hours;</w:t>
      </w:r>
      <w:r>
        <w:rPr>
          <w:spacing w:val="-4"/>
        </w:rPr>
        <w:t> </w:t>
      </w:r>
      <w:r>
        <w:rPr/>
        <w:t>avoiding</w:t>
      </w:r>
      <w:r>
        <w:rPr>
          <w:spacing w:val="-5"/>
        </w:rPr>
        <w:t> </w:t>
      </w:r>
      <w:r>
        <w:rPr/>
        <w:t>a</w:t>
      </w:r>
      <w:r>
        <w:rPr>
          <w:spacing w:val="-4"/>
        </w:rPr>
        <w:t> </w:t>
      </w:r>
      <w:r>
        <w:rPr/>
        <w:t>dose</w:t>
      </w:r>
      <w:r>
        <w:rPr>
          <w:spacing w:val="-4"/>
        </w:rPr>
        <w:t> </w:t>
      </w:r>
      <w:r>
        <w:rPr/>
        <w:t>near bedtime) is a peripheral </w:t>
      </w:r>
      <w:r>
        <w:rPr>
          <w:rFonts w:ascii="Arial" w:hAnsi="Arial"/>
        </w:rPr>
        <w:t>α</w:t>
      </w:r>
      <w:r>
        <w:rPr/>
        <w:t>-1 adrenergic receptor agonist prodrug that enhances vasoconstriction, cardiac venous re- turn, and stroke volume. This is used preferentially in pa- tients with a low BP phenotype or clinical evidence of acrocyanosis [</w:t>
      </w:r>
      <w:hyperlink w:history="true" w:anchor="_bookmark62">
        <w:r>
          <w:rPr>
            <w:color w:val="127EAD"/>
          </w:rPr>
          <w:t>45</w:t>
        </w:r>
      </w:hyperlink>
      <w:r>
        <w:rPr/>
        <w:t>]. Several small studies in largely paediatric patients have shown potential symptom benefits and reduced postural tachycardia in the short-term, although well-conducted longer-term follow-up studies remain lack- ing</w:t>
      </w:r>
      <w:r>
        <w:rPr>
          <w:spacing w:val="9"/>
        </w:rPr>
        <w:t> </w:t>
      </w:r>
      <w:r>
        <w:rPr/>
        <w:t>[</w:t>
      </w:r>
      <w:hyperlink w:history="true" w:anchor="_bookmark63">
        <w:r>
          <w:rPr>
            <w:color w:val="127EAD"/>
          </w:rPr>
          <w:t>46</w:t>
        </w:r>
      </w:hyperlink>
      <w:r>
        <w:rPr/>
        <w:t>,</w:t>
      </w:r>
      <w:hyperlink w:history="true" w:anchor="_bookmark64">
        <w:r>
          <w:rPr>
            <w:color w:val="127EAD"/>
          </w:rPr>
          <w:t>47</w:t>
        </w:r>
      </w:hyperlink>
      <w:r>
        <w:rPr/>
        <w:t>].</w:t>
      </w:r>
    </w:p>
    <w:p>
      <w:pPr>
        <w:pStyle w:val="BodyText"/>
        <w:spacing w:before="3"/>
        <w:rPr>
          <w:sz w:val="16"/>
        </w:rPr>
      </w:pPr>
    </w:p>
    <w:p>
      <w:pPr>
        <w:pStyle w:val="Heading3"/>
      </w:pPr>
      <w:r>
        <w:rPr/>
        <w:t>Heart rate reduction</w:t>
      </w:r>
    </w:p>
    <w:p>
      <w:pPr>
        <w:pStyle w:val="BodyText"/>
        <w:spacing w:line="252" w:lineRule="auto"/>
        <w:ind w:left="106" w:right="114"/>
        <w:jc w:val="both"/>
      </w:pPr>
      <w:r>
        <w:rPr/>
        <w:t>Ivabradine is a “funny channel” blocker that lowers sinus rate</w:t>
      </w:r>
      <w:r>
        <w:rPr>
          <w:spacing w:val="-7"/>
        </w:rPr>
        <w:t> </w:t>
      </w:r>
      <w:r>
        <w:rPr/>
        <w:t>without</w:t>
      </w:r>
      <w:r>
        <w:rPr>
          <w:spacing w:val="-7"/>
        </w:rPr>
        <w:t> </w:t>
      </w:r>
      <w:r>
        <w:rPr>
          <w:rFonts w:ascii="Arial" w:hAnsi="Arial"/>
          <w:sz w:val="20"/>
        </w:rPr>
        <w:t>β</w:t>
      </w:r>
      <w:r>
        <w:rPr/>
        <w:t>-blocker</w:t>
      </w:r>
      <w:r>
        <w:rPr>
          <w:spacing w:val="-7"/>
        </w:rPr>
        <w:t> </w:t>
      </w:r>
      <w:r>
        <w:rPr/>
        <w:t>or</w:t>
      </w:r>
      <w:r>
        <w:rPr>
          <w:spacing w:val="-7"/>
        </w:rPr>
        <w:t> </w:t>
      </w:r>
      <w:r>
        <w:rPr/>
        <w:t>blood</w:t>
      </w:r>
      <w:r>
        <w:rPr>
          <w:spacing w:val="-7"/>
        </w:rPr>
        <w:t> </w:t>
      </w:r>
      <w:r>
        <w:rPr/>
        <w:t>pressure–lowering</w:t>
      </w:r>
      <w:r>
        <w:rPr>
          <w:spacing w:val="-7"/>
        </w:rPr>
        <w:t> </w:t>
      </w:r>
      <w:r>
        <w:rPr/>
        <w:t>effects.</w:t>
      </w:r>
      <w:r>
        <w:rPr>
          <w:spacing w:val="-7"/>
        </w:rPr>
        <w:t> </w:t>
      </w:r>
      <w:r>
        <w:rPr/>
        <w:t>A single-centre, placebo-controlled trial found that oral twice- daily ivabradine 5 mg lowered heart rate, improved symp- toms, and quality of life, with a strong trend in reducing standing norepinephrine levels in patients with POTS  </w:t>
      </w:r>
      <w:r>
        <w:rPr>
          <w:spacing w:val="23"/>
        </w:rPr>
        <w:t> </w:t>
      </w:r>
      <w:r>
        <w:rPr/>
        <w:t>[</w:t>
      </w:r>
      <w:hyperlink w:history="true" w:anchor="_bookmark65">
        <w:r>
          <w:rPr>
            <w:color w:val="127EAD"/>
          </w:rPr>
          <w:t>48</w:t>
        </w:r>
      </w:hyperlink>
      <w:r>
        <w:rPr/>
        <w:t>].</w:t>
      </w:r>
    </w:p>
    <w:p>
      <w:pPr>
        <w:spacing w:after="0" w:line="252" w:lineRule="auto"/>
        <w:jc w:val="both"/>
        <w:sectPr>
          <w:type w:val="continuous"/>
          <w:pgSz w:w="11910" w:h="15880"/>
          <w:pgMar w:top="660" w:bottom="280" w:left="780" w:right="840"/>
          <w:cols w:num="2" w:equalWidth="0">
            <w:col w:w="5143" w:space="137"/>
            <w:col w:w="5010"/>
          </w:cols>
        </w:sectPr>
      </w:pPr>
    </w:p>
    <w:p>
      <w:pPr>
        <w:pStyle w:val="BodyText"/>
        <w:rPr>
          <w:sz w:val="20"/>
        </w:rPr>
      </w:pPr>
    </w:p>
    <w:p>
      <w:pPr>
        <w:pStyle w:val="BodyText"/>
        <w:spacing w:after="1"/>
        <w:rPr>
          <w:sz w:val="17"/>
        </w:rPr>
      </w:pPr>
    </w:p>
    <w:tbl>
      <w:tblPr>
        <w:tblW w:w="0" w:type="auto"/>
        <w:jc w:val="left"/>
        <w:tblInd w:w="17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191"/>
        <w:gridCol w:w="3388"/>
        <w:gridCol w:w="4364"/>
      </w:tblGrid>
      <w:tr>
        <w:trPr>
          <w:trHeight w:val="301" w:hRule="exact"/>
        </w:trPr>
        <w:tc>
          <w:tcPr>
            <w:tcW w:w="9943" w:type="dxa"/>
            <w:gridSpan w:val="3"/>
            <w:shd w:val="clear" w:color="auto" w:fill="EBF3FC"/>
          </w:tcPr>
          <w:p>
            <w:pPr>
              <w:pStyle w:val="TableParagraph"/>
              <w:spacing w:line="209" w:lineRule="exact" w:before="131"/>
              <w:ind w:left="59"/>
              <w:rPr>
                <w:b/>
                <w:sz w:val="18"/>
              </w:rPr>
            </w:pPr>
            <w:bookmarkStart w:name="Blood volume expander" w:id="31"/>
            <w:bookmarkEnd w:id="31"/>
            <w:r>
              <w:rPr/>
            </w:r>
            <w:bookmarkStart w:name="_bookmark20" w:id="32"/>
            <w:bookmarkEnd w:id="32"/>
            <w:r>
              <w:rPr/>
            </w:r>
            <w:r>
              <w:rPr>
                <w:b/>
                <w:color w:val="E53527"/>
                <w:sz w:val="18"/>
              </w:rPr>
              <w:t>Table 2    </w:t>
            </w:r>
            <w:r>
              <w:rPr>
                <w:b/>
                <w:sz w:val="18"/>
              </w:rPr>
              <w:t>Treatments for POTS.</w:t>
            </w:r>
          </w:p>
        </w:tc>
      </w:tr>
      <w:tr>
        <w:trPr>
          <w:trHeight w:val="469" w:hRule="exact"/>
        </w:trPr>
        <w:tc>
          <w:tcPr>
            <w:tcW w:w="2191" w:type="dxa"/>
          </w:tcPr>
          <w:p>
            <w:pPr>
              <w:pStyle w:val="TableParagraph"/>
              <w:spacing w:before="3"/>
              <w:ind w:left="0"/>
              <w:rPr>
                <w:sz w:val="18"/>
              </w:rPr>
            </w:pPr>
          </w:p>
          <w:p>
            <w:pPr>
              <w:pStyle w:val="TableParagraph"/>
              <w:spacing w:before="0"/>
              <w:ind w:left="139"/>
              <w:rPr>
                <w:b/>
                <w:sz w:val="16"/>
              </w:rPr>
            </w:pPr>
            <w:r>
              <w:rPr>
                <w:b/>
                <w:sz w:val="16"/>
              </w:rPr>
              <w:t>Treatment</w:t>
            </w:r>
          </w:p>
        </w:tc>
        <w:tc>
          <w:tcPr>
            <w:tcW w:w="3388" w:type="dxa"/>
          </w:tcPr>
          <w:p>
            <w:pPr>
              <w:pStyle w:val="TableParagraph"/>
              <w:spacing w:before="3"/>
              <w:ind w:left="0"/>
              <w:rPr>
                <w:sz w:val="18"/>
              </w:rPr>
            </w:pPr>
          </w:p>
          <w:p>
            <w:pPr>
              <w:pStyle w:val="TableParagraph"/>
              <w:spacing w:before="0"/>
              <w:ind w:left="150"/>
              <w:rPr>
                <w:b/>
                <w:sz w:val="16"/>
              </w:rPr>
            </w:pPr>
            <w:r>
              <w:rPr>
                <w:b/>
                <w:sz w:val="16"/>
              </w:rPr>
              <w:t>Dose</w:t>
            </w:r>
          </w:p>
        </w:tc>
        <w:tc>
          <w:tcPr>
            <w:tcW w:w="4364" w:type="dxa"/>
          </w:tcPr>
          <w:p>
            <w:pPr>
              <w:pStyle w:val="TableParagraph"/>
              <w:spacing w:before="3"/>
              <w:ind w:left="0"/>
              <w:rPr>
                <w:sz w:val="18"/>
              </w:rPr>
            </w:pPr>
          </w:p>
          <w:p>
            <w:pPr>
              <w:pStyle w:val="TableParagraph"/>
              <w:spacing w:before="0"/>
              <w:rPr>
                <w:b/>
                <w:sz w:val="16"/>
              </w:rPr>
            </w:pPr>
            <w:r>
              <w:rPr>
                <w:b/>
                <w:sz w:val="16"/>
              </w:rPr>
              <w:t>Comments</w:t>
            </w:r>
          </w:p>
        </w:tc>
      </w:tr>
      <w:tr>
        <w:trPr>
          <w:trHeight w:val="309" w:hRule="exact"/>
        </w:trPr>
        <w:tc>
          <w:tcPr>
            <w:tcW w:w="2191" w:type="dxa"/>
          </w:tcPr>
          <w:p>
            <w:pPr>
              <w:pStyle w:val="TableParagraph"/>
              <w:spacing w:before="46"/>
              <w:ind w:left="139"/>
              <w:rPr>
                <w:b/>
                <w:sz w:val="16"/>
              </w:rPr>
            </w:pPr>
            <w:r>
              <w:rPr>
                <w:b/>
                <w:sz w:val="16"/>
              </w:rPr>
              <w:t>Non-pharmacological</w:t>
            </w:r>
          </w:p>
        </w:tc>
        <w:tc>
          <w:tcPr>
            <w:tcW w:w="3388" w:type="dxa"/>
          </w:tcPr>
          <w:p>
            <w:pPr/>
          </w:p>
        </w:tc>
        <w:tc>
          <w:tcPr>
            <w:tcW w:w="4364" w:type="dxa"/>
          </w:tcPr>
          <w:p>
            <w:pPr/>
          </w:p>
        </w:tc>
      </w:tr>
      <w:tr>
        <w:trPr>
          <w:trHeight w:val="287" w:hRule="exact"/>
        </w:trPr>
        <w:tc>
          <w:tcPr>
            <w:tcW w:w="2191" w:type="dxa"/>
          </w:tcPr>
          <w:p>
            <w:pPr>
              <w:pStyle w:val="TableParagraph"/>
              <w:spacing w:before="64"/>
              <w:ind w:left="139"/>
              <w:rPr>
                <w:sz w:val="16"/>
              </w:rPr>
            </w:pPr>
            <w:r>
              <w:rPr>
                <w:sz w:val="16"/>
              </w:rPr>
              <w:t>Water</w:t>
            </w:r>
          </w:p>
        </w:tc>
        <w:tc>
          <w:tcPr>
            <w:tcW w:w="3388" w:type="dxa"/>
          </w:tcPr>
          <w:p>
            <w:pPr>
              <w:pStyle w:val="TableParagraph"/>
              <w:spacing w:before="64"/>
              <w:ind w:left="150"/>
              <w:rPr>
                <w:sz w:val="16"/>
              </w:rPr>
            </w:pPr>
            <w:r>
              <w:rPr>
                <w:sz w:val="16"/>
              </w:rPr>
              <w:t>3 L/day</w:t>
            </w:r>
          </w:p>
        </w:tc>
        <w:tc>
          <w:tcPr>
            <w:tcW w:w="4364" w:type="dxa"/>
          </w:tcPr>
          <w:p>
            <w:pPr>
              <w:pStyle w:val="TableParagraph"/>
              <w:spacing w:before="64"/>
              <w:rPr>
                <w:sz w:val="16"/>
              </w:rPr>
            </w:pPr>
            <w:r>
              <w:rPr>
                <w:sz w:val="16"/>
              </w:rPr>
              <w:t>Can be difficult for patients with  gastroparesis</w:t>
            </w:r>
          </w:p>
        </w:tc>
      </w:tr>
      <w:tr>
        <w:trPr>
          <w:trHeight w:val="239" w:hRule="exact"/>
        </w:trPr>
        <w:tc>
          <w:tcPr>
            <w:tcW w:w="2191" w:type="dxa"/>
          </w:tcPr>
          <w:p>
            <w:pPr>
              <w:pStyle w:val="TableParagraph"/>
              <w:ind w:left="139"/>
              <w:rPr>
                <w:sz w:val="16"/>
              </w:rPr>
            </w:pPr>
            <w:r>
              <w:rPr>
                <w:sz w:val="16"/>
              </w:rPr>
              <w:t>Dietary salt or electrolyte</w:t>
            </w:r>
          </w:p>
        </w:tc>
        <w:tc>
          <w:tcPr>
            <w:tcW w:w="3388" w:type="dxa"/>
          </w:tcPr>
          <w:p>
            <w:pPr>
              <w:pStyle w:val="TableParagraph"/>
              <w:ind w:left="150"/>
              <w:rPr>
                <w:sz w:val="16"/>
              </w:rPr>
            </w:pPr>
            <w:r>
              <w:rPr>
                <w:sz w:val="16"/>
              </w:rPr>
              <w:t>10 g salt/day</w:t>
            </w:r>
          </w:p>
        </w:tc>
        <w:tc>
          <w:tcPr>
            <w:tcW w:w="4364" w:type="dxa"/>
          </w:tcPr>
          <w:p>
            <w:pPr>
              <w:pStyle w:val="TableParagraph"/>
              <w:rPr>
                <w:sz w:val="16"/>
              </w:rPr>
            </w:pPr>
            <w:r>
              <w:rPr>
                <w:sz w:val="16"/>
              </w:rPr>
              <w:t>To help to retain more  fluid;</w:t>
            </w:r>
          </w:p>
        </w:tc>
      </w:tr>
      <w:tr>
        <w:trPr>
          <w:trHeight w:val="478" w:hRule="exact"/>
        </w:trPr>
        <w:tc>
          <w:tcPr>
            <w:tcW w:w="2191" w:type="dxa"/>
          </w:tcPr>
          <w:p>
            <w:pPr>
              <w:pStyle w:val="TableParagraph"/>
              <w:spacing w:before="16"/>
              <w:ind w:left="139"/>
              <w:rPr>
                <w:sz w:val="16"/>
              </w:rPr>
            </w:pPr>
            <w:r>
              <w:rPr>
                <w:sz w:val="16"/>
              </w:rPr>
              <w:t>supplements</w:t>
            </w:r>
          </w:p>
        </w:tc>
        <w:tc>
          <w:tcPr>
            <w:tcW w:w="3388" w:type="dxa"/>
          </w:tcPr>
          <w:p>
            <w:pPr>
              <w:pStyle w:val="TableParagraph"/>
              <w:spacing w:before="16"/>
              <w:ind w:left="150"/>
              <w:rPr>
                <w:sz w:val="16"/>
              </w:rPr>
            </w:pPr>
            <w:r>
              <w:rPr>
                <w:sz w:val="16"/>
              </w:rPr>
              <w:t>(2 teaspoons)</w:t>
            </w:r>
          </w:p>
        </w:tc>
        <w:tc>
          <w:tcPr>
            <w:tcW w:w="4364" w:type="dxa"/>
          </w:tcPr>
          <w:p>
            <w:pPr>
              <w:pStyle w:val="TableParagraph"/>
              <w:spacing w:line="288" w:lineRule="auto" w:before="16"/>
              <w:rPr>
                <w:sz w:val="16"/>
              </w:rPr>
            </w:pPr>
            <w:r>
              <w:rPr>
                <w:sz w:val="16"/>
              </w:rPr>
              <w:t>Can cause nausea: dietary salt often better tolerated than tablets</w:t>
            </w:r>
          </w:p>
        </w:tc>
      </w:tr>
      <w:tr>
        <w:trPr>
          <w:trHeight w:val="729" w:hRule="exact"/>
        </w:trPr>
        <w:tc>
          <w:tcPr>
            <w:tcW w:w="2191" w:type="dxa"/>
            <w:tcBorders>
              <w:bottom w:val="single" w:sz="6" w:space="0" w:color="E53527"/>
            </w:tcBorders>
          </w:tcPr>
          <w:p>
            <w:pPr>
              <w:pStyle w:val="TableParagraph"/>
              <w:spacing w:line="288" w:lineRule="auto"/>
              <w:ind w:left="139" w:right="288"/>
              <w:rPr>
                <w:sz w:val="16"/>
              </w:rPr>
            </w:pPr>
            <w:r>
              <w:rPr>
                <w:sz w:val="16"/>
              </w:rPr>
              <w:t>Waist-high compression Abdominal compression</w:t>
            </w:r>
          </w:p>
        </w:tc>
        <w:tc>
          <w:tcPr>
            <w:tcW w:w="3388" w:type="dxa"/>
            <w:tcBorders>
              <w:bottom w:val="single" w:sz="6" w:space="0" w:color="E53527"/>
            </w:tcBorders>
          </w:tcPr>
          <w:p>
            <w:pPr>
              <w:pStyle w:val="TableParagraph"/>
              <w:spacing w:before="16"/>
              <w:ind w:left="150"/>
              <w:rPr>
                <w:sz w:val="16"/>
              </w:rPr>
            </w:pPr>
            <w:r>
              <w:rPr>
                <w:rFonts w:ascii="Lucida Sans"/>
                <w:w w:val="262"/>
                <w:sz w:val="16"/>
              </w:rPr>
              <w:t>.</w:t>
            </w:r>
            <w:r>
              <w:rPr>
                <w:w w:val="99"/>
                <w:sz w:val="16"/>
              </w:rPr>
              <w:t>20</w:t>
            </w:r>
            <w:r>
              <w:rPr>
                <w:spacing w:val="12"/>
                <w:sz w:val="16"/>
              </w:rPr>
              <w:t> </w:t>
            </w:r>
            <w:r>
              <w:rPr>
                <w:w w:val="99"/>
                <w:sz w:val="16"/>
              </w:rPr>
              <w:t>mmHg</w:t>
            </w:r>
            <w:r>
              <w:rPr>
                <w:spacing w:val="12"/>
                <w:sz w:val="16"/>
              </w:rPr>
              <w:t> </w:t>
            </w:r>
            <w:r>
              <w:rPr>
                <w:w w:val="99"/>
                <w:sz w:val="16"/>
              </w:rPr>
              <w:t>(Firm)</w:t>
            </w:r>
          </w:p>
        </w:tc>
        <w:tc>
          <w:tcPr>
            <w:tcW w:w="4364" w:type="dxa"/>
            <w:tcBorders>
              <w:bottom w:val="single" w:sz="6" w:space="0" w:color="E53527"/>
            </w:tcBorders>
          </w:tcPr>
          <w:p>
            <w:pPr>
              <w:pStyle w:val="TableParagraph"/>
              <w:spacing w:line="288" w:lineRule="auto"/>
              <w:ind w:right="65"/>
              <w:rPr>
                <w:sz w:val="16"/>
              </w:rPr>
            </w:pPr>
            <w:r>
              <w:rPr>
                <w:sz w:val="16"/>
              </w:rPr>
              <w:t>Works to enhance venous return when upright; Abdominal (upper thigh to bottom of rib cage) works better than legs</w:t>
            </w:r>
          </w:p>
        </w:tc>
      </w:tr>
      <w:tr>
        <w:trPr>
          <w:trHeight w:val="309" w:hRule="exact"/>
        </w:trPr>
        <w:tc>
          <w:tcPr>
            <w:tcW w:w="2191" w:type="dxa"/>
            <w:tcBorders>
              <w:top w:val="single" w:sz="6" w:space="0" w:color="E53527"/>
            </w:tcBorders>
          </w:tcPr>
          <w:p>
            <w:pPr>
              <w:pStyle w:val="TableParagraph"/>
              <w:spacing w:before="38"/>
              <w:ind w:left="139"/>
              <w:rPr>
                <w:b/>
                <w:sz w:val="16"/>
              </w:rPr>
            </w:pPr>
            <w:r>
              <w:rPr>
                <w:b/>
                <w:sz w:val="16"/>
              </w:rPr>
              <w:t>Pharmacological</w:t>
            </w:r>
          </w:p>
        </w:tc>
        <w:tc>
          <w:tcPr>
            <w:tcW w:w="3388" w:type="dxa"/>
            <w:tcBorders>
              <w:top w:val="single" w:sz="6" w:space="0" w:color="E53527"/>
            </w:tcBorders>
          </w:tcPr>
          <w:p>
            <w:pPr/>
          </w:p>
        </w:tc>
        <w:tc>
          <w:tcPr>
            <w:tcW w:w="4364" w:type="dxa"/>
            <w:tcBorders>
              <w:top w:val="single" w:sz="6" w:space="0" w:color="E53527"/>
            </w:tcBorders>
          </w:tcPr>
          <w:p>
            <w:pPr/>
          </w:p>
        </w:tc>
      </w:tr>
      <w:tr>
        <w:trPr>
          <w:trHeight w:val="285" w:hRule="exact"/>
        </w:trPr>
        <w:tc>
          <w:tcPr>
            <w:tcW w:w="2191" w:type="dxa"/>
          </w:tcPr>
          <w:p>
            <w:pPr>
              <w:pStyle w:val="TableParagraph"/>
              <w:spacing w:before="70"/>
              <w:ind w:left="139"/>
              <w:rPr>
                <w:b/>
                <w:i/>
                <w:sz w:val="16"/>
              </w:rPr>
            </w:pPr>
            <w:r>
              <w:rPr>
                <w:b/>
                <w:i/>
                <w:sz w:val="16"/>
              </w:rPr>
              <w:t>Vasoconstrictor</w:t>
            </w:r>
          </w:p>
        </w:tc>
        <w:tc>
          <w:tcPr>
            <w:tcW w:w="3388" w:type="dxa"/>
          </w:tcPr>
          <w:p>
            <w:pPr/>
          </w:p>
        </w:tc>
        <w:tc>
          <w:tcPr>
            <w:tcW w:w="4364" w:type="dxa"/>
          </w:tcPr>
          <w:p>
            <w:pPr/>
          </w:p>
        </w:tc>
      </w:tr>
      <w:tr>
        <w:trPr>
          <w:trHeight w:val="479" w:hRule="exact"/>
        </w:trPr>
        <w:tc>
          <w:tcPr>
            <w:tcW w:w="2191" w:type="dxa"/>
          </w:tcPr>
          <w:p>
            <w:pPr>
              <w:pStyle w:val="TableParagraph"/>
              <w:spacing w:before="18"/>
              <w:ind w:left="299"/>
              <w:rPr>
                <w:sz w:val="16"/>
              </w:rPr>
            </w:pPr>
            <w:r>
              <w:rPr>
                <w:sz w:val="16"/>
              </w:rPr>
              <w:t>Midodrine</w:t>
            </w:r>
          </w:p>
        </w:tc>
        <w:tc>
          <w:tcPr>
            <w:tcW w:w="3388" w:type="dxa"/>
          </w:tcPr>
          <w:p>
            <w:pPr>
              <w:pStyle w:val="TableParagraph"/>
              <w:spacing w:before="18"/>
              <w:ind w:left="146"/>
              <w:rPr>
                <w:sz w:val="16"/>
              </w:rPr>
            </w:pPr>
            <w:r>
              <w:rPr>
                <w:sz w:val="16"/>
              </w:rPr>
              <w:t>2.5–10 mg orally 3–6 times  daily</w:t>
            </w:r>
          </w:p>
        </w:tc>
        <w:tc>
          <w:tcPr>
            <w:tcW w:w="4364" w:type="dxa"/>
          </w:tcPr>
          <w:p>
            <w:pPr>
              <w:pStyle w:val="TableParagraph"/>
              <w:spacing w:line="288" w:lineRule="auto" w:before="18"/>
              <w:rPr>
                <w:sz w:val="16"/>
              </w:rPr>
            </w:pPr>
            <w:r>
              <w:rPr>
                <w:sz w:val="16"/>
              </w:rPr>
              <w:t>Can cause scalp tingling, piloerection, &amp; goosebumps and worsen headache;</w:t>
            </w:r>
          </w:p>
        </w:tc>
      </w:tr>
      <w:tr>
        <w:trPr>
          <w:trHeight w:val="478" w:hRule="exact"/>
        </w:trPr>
        <w:tc>
          <w:tcPr>
            <w:tcW w:w="2191" w:type="dxa"/>
          </w:tcPr>
          <w:p>
            <w:pPr/>
          </w:p>
        </w:tc>
        <w:tc>
          <w:tcPr>
            <w:tcW w:w="3388" w:type="dxa"/>
          </w:tcPr>
          <w:p>
            <w:pPr/>
          </w:p>
        </w:tc>
        <w:tc>
          <w:tcPr>
            <w:tcW w:w="4364" w:type="dxa"/>
          </w:tcPr>
          <w:p>
            <w:pPr>
              <w:pStyle w:val="TableParagraph"/>
              <w:spacing w:line="288" w:lineRule="auto"/>
              <w:ind w:right="65"/>
              <w:rPr>
                <w:sz w:val="16"/>
              </w:rPr>
            </w:pPr>
            <w:r>
              <w:rPr>
                <w:sz w:val="16"/>
              </w:rPr>
              <w:t>Maximum 10 mg per 3 hours &amp; up to 40 mg per day when awake;</w:t>
            </w:r>
          </w:p>
        </w:tc>
      </w:tr>
      <w:tr>
        <w:trPr>
          <w:trHeight w:val="239" w:hRule="exact"/>
        </w:trPr>
        <w:tc>
          <w:tcPr>
            <w:tcW w:w="2191" w:type="dxa"/>
          </w:tcPr>
          <w:p>
            <w:pPr/>
          </w:p>
        </w:tc>
        <w:tc>
          <w:tcPr>
            <w:tcW w:w="3388" w:type="dxa"/>
          </w:tcPr>
          <w:p>
            <w:pPr/>
          </w:p>
        </w:tc>
        <w:tc>
          <w:tcPr>
            <w:tcW w:w="4364" w:type="dxa"/>
          </w:tcPr>
          <w:p>
            <w:pPr>
              <w:pStyle w:val="TableParagraph"/>
              <w:spacing w:before="16"/>
              <w:rPr>
                <w:sz w:val="16"/>
              </w:rPr>
            </w:pPr>
            <w:r>
              <w:rPr>
                <w:sz w:val="16"/>
              </w:rPr>
              <w:t>Avoid within 3 hours of  bedtime</w:t>
            </w:r>
          </w:p>
        </w:tc>
      </w:tr>
      <w:tr>
        <w:trPr>
          <w:trHeight w:val="478" w:hRule="exact"/>
        </w:trPr>
        <w:tc>
          <w:tcPr>
            <w:tcW w:w="2191" w:type="dxa"/>
          </w:tcPr>
          <w:p>
            <w:pPr>
              <w:pStyle w:val="TableParagraph"/>
              <w:spacing w:before="23"/>
              <w:ind w:left="139"/>
              <w:rPr>
                <w:b/>
                <w:i/>
                <w:sz w:val="16"/>
              </w:rPr>
            </w:pPr>
            <w:r>
              <w:rPr>
                <w:b/>
                <w:i/>
                <w:sz w:val="16"/>
              </w:rPr>
              <w:t>Heart rate reduction</w:t>
            </w:r>
          </w:p>
          <w:p>
            <w:pPr>
              <w:pStyle w:val="TableParagraph"/>
              <w:spacing w:before="40"/>
              <w:ind w:left="299"/>
              <w:rPr>
                <w:sz w:val="16"/>
              </w:rPr>
            </w:pPr>
            <w:r>
              <w:rPr>
                <w:sz w:val="16"/>
              </w:rPr>
              <w:t>Ivabradine</w:t>
            </w:r>
          </w:p>
        </w:tc>
        <w:tc>
          <w:tcPr>
            <w:tcW w:w="3388" w:type="dxa"/>
          </w:tcPr>
          <w:p>
            <w:pPr>
              <w:pStyle w:val="TableParagraph"/>
              <w:spacing w:before="7"/>
              <w:ind w:left="0"/>
              <w:rPr>
                <w:sz w:val="20"/>
              </w:rPr>
            </w:pPr>
          </w:p>
          <w:p>
            <w:pPr>
              <w:pStyle w:val="TableParagraph"/>
              <w:spacing w:before="1"/>
              <w:ind w:left="146"/>
              <w:rPr>
                <w:sz w:val="16"/>
              </w:rPr>
            </w:pPr>
            <w:r>
              <w:rPr>
                <w:sz w:val="16"/>
              </w:rPr>
              <w:t>2.5–7.5 mg orally twice daily</w:t>
            </w:r>
          </w:p>
        </w:tc>
        <w:tc>
          <w:tcPr>
            <w:tcW w:w="4364" w:type="dxa"/>
          </w:tcPr>
          <w:p>
            <w:pPr>
              <w:pStyle w:val="TableParagraph"/>
              <w:spacing w:before="7"/>
              <w:ind w:left="0"/>
              <w:rPr>
                <w:sz w:val="20"/>
              </w:rPr>
            </w:pPr>
          </w:p>
          <w:p>
            <w:pPr>
              <w:pStyle w:val="TableParagraph"/>
              <w:spacing w:before="1"/>
              <w:rPr>
                <w:sz w:val="16"/>
              </w:rPr>
            </w:pPr>
            <w:r>
              <w:rPr>
                <w:sz w:val="16"/>
              </w:rPr>
              <w:t>Can cause visual disturbances and  bradycardia</w:t>
            </w:r>
          </w:p>
        </w:tc>
      </w:tr>
      <w:tr>
        <w:trPr>
          <w:trHeight w:val="478" w:hRule="exact"/>
        </w:trPr>
        <w:tc>
          <w:tcPr>
            <w:tcW w:w="2191" w:type="dxa"/>
            <w:vMerge w:val="restart"/>
          </w:tcPr>
          <w:p>
            <w:pPr>
              <w:pStyle w:val="TableParagraph"/>
              <w:spacing w:line="578" w:lineRule="auto"/>
              <w:ind w:left="299" w:right="288"/>
              <w:rPr>
                <w:sz w:val="16"/>
              </w:rPr>
            </w:pPr>
            <w:r>
              <w:rPr>
                <w:sz w:val="16"/>
              </w:rPr>
              <w:t>Propranolol </w:t>
            </w:r>
            <w:r>
              <w:rPr>
                <w:w w:val="95"/>
                <w:sz w:val="16"/>
              </w:rPr>
              <w:t>Pyridostigmine</w:t>
            </w:r>
          </w:p>
          <w:p>
            <w:pPr>
              <w:pStyle w:val="TableParagraph"/>
              <w:spacing w:before="5"/>
              <w:ind w:left="139"/>
              <w:rPr>
                <w:b/>
                <w:i/>
                <w:sz w:val="16"/>
              </w:rPr>
            </w:pPr>
            <w:r>
              <w:rPr>
                <w:b/>
                <w:i/>
                <w:sz w:val="16"/>
              </w:rPr>
              <w:t>Blood volume expanders</w:t>
            </w:r>
          </w:p>
          <w:p>
            <w:pPr>
              <w:pStyle w:val="TableParagraph"/>
              <w:spacing w:before="39"/>
              <w:ind w:left="299"/>
              <w:rPr>
                <w:sz w:val="16"/>
              </w:rPr>
            </w:pPr>
            <w:r>
              <w:rPr>
                <w:sz w:val="16"/>
              </w:rPr>
              <w:t>Fludrocortisone</w:t>
            </w:r>
          </w:p>
          <w:p>
            <w:pPr>
              <w:pStyle w:val="TableParagraph"/>
              <w:spacing w:before="0"/>
              <w:ind w:left="0"/>
              <w:rPr>
                <w:sz w:val="18"/>
              </w:rPr>
            </w:pPr>
          </w:p>
          <w:p>
            <w:pPr>
              <w:pStyle w:val="TableParagraph"/>
              <w:spacing w:before="9"/>
              <w:ind w:left="0"/>
              <w:rPr>
                <w:sz w:val="23"/>
              </w:rPr>
            </w:pPr>
          </w:p>
          <w:p>
            <w:pPr>
              <w:pStyle w:val="TableParagraph"/>
              <w:spacing w:before="0"/>
              <w:ind w:left="299"/>
              <w:rPr>
                <w:sz w:val="16"/>
              </w:rPr>
            </w:pPr>
            <w:r>
              <w:rPr>
                <w:sz w:val="16"/>
              </w:rPr>
              <w:t>Desmopressin (DDAVP)</w:t>
            </w:r>
          </w:p>
        </w:tc>
        <w:tc>
          <w:tcPr>
            <w:tcW w:w="3388" w:type="dxa"/>
            <w:vMerge w:val="restart"/>
          </w:tcPr>
          <w:p>
            <w:pPr>
              <w:pStyle w:val="TableParagraph"/>
              <w:spacing w:line="578" w:lineRule="auto"/>
              <w:ind w:left="146" w:right="302"/>
              <w:rPr>
                <w:sz w:val="16"/>
              </w:rPr>
            </w:pPr>
            <w:r>
              <w:rPr>
                <w:sz w:val="16"/>
              </w:rPr>
              <w:t>10–20 mg orally up to 4 times daily 30–120 mg orally up to 3 times  daily</w:t>
            </w:r>
          </w:p>
        </w:tc>
        <w:tc>
          <w:tcPr>
            <w:tcW w:w="4364" w:type="dxa"/>
          </w:tcPr>
          <w:p>
            <w:pPr>
              <w:pStyle w:val="TableParagraph"/>
              <w:spacing w:line="288" w:lineRule="auto"/>
              <w:rPr>
                <w:sz w:val="16"/>
              </w:rPr>
            </w:pPr>
            <w:r>
              <w:rPr>
                <w:sz w:val="16"/>
              </w:rPr>
              <w:t>Can cause bradycardia, fatigue, hypotension, &amp; worsened asthma</w:t>
            </w:r>
          </w:p>
        </w:tc>
      </w:tr>
      <w:tr>
        <w:trPr>
          <w:trHeight w:val="598" w:hRule="exact"/>
        </w:trPr>
        <w:tc>
          <w:tcPr>
            <w:tcW w:w="2191" w:type="dxa"/>
            <w:vMerge/>
          </w:tcPr>
          <w:p>
            <w:pPr/>
          </w:p>
        </w:tc>
        <w:tc>
          <w:tcPr>
            <w:tcW w:w="3388" w:type="dxa"/>
            <w:vMerge/>
          </w:tcPr>
          <w:p>
            <w:pPr/>
          </w:p>
        </w:tc>
        <w:tc>
          <w:tcPr>
            <w:tcW w:w="4364" w:type="dxa"/>
          </w:tcPr>
          <w:p>
            <w:pPr>
              <w:pStyle w:val="TableParagraph"/>
              <w:spacing w:line="288" w:lineRule="auto"/>
              <w:rPr>
                <w:sz w:val="16"/>
              </w:rPr>
            </w:pPr>
            <w:r>
              <w:rPr>
                <w:sz w:val="16"/>
              </w:rPr>
              <w:t>Can cause increased abdominal cramping, diarrhoea, &amp; bradycardia</w:t>
            </w:r>
          </w:p>
        </w:tc>
      </w:tr>
      <w:tr>
        <w:trPr>
          <w:trHeight w:val="598" w:hRule="exact"/>
        </w:trPr>
        <w:tc>
          <w:tcPr>
            <w:tcW w:w="2191" w:type="dxa"/>
            <w:vMerge/>
          </w:tcPr>
          <w:p>
            <w:pPr/>
          </w:p>
        </w:tc>
        <w:tc>
          <w:tcPr>
            <w:tcW w:w="3388" w:type="dxa"/>
          </w:tcPr>
          <w:p>
            <w:pPr>
              <w:pStyle w:val="TableParagraph"/>
              <w:spacing w:before="136"/>
              <w:ind w:left="146"/>
              <w:rPr>
                <w:sz w:val="16"/>
              </w:rPr>
            </w:pPr>
            <w:r>
              <w:rPr>
                <w:sz w:val="16"/>
              </w:rPr>
              <w:t>0.1–0.2 mg orally daily</w:t>
            </w:r>
          </w:p>
        </w:tc>
        <w:tc>
          <w:tcPr>
            <w:tcW w:w="4364" w:type="dxa"/>
          </w:tcPr>
          <w:p>
            <w:pPr>
              <w:pStyle w:val="TableParagraph"/>
              <w:spacing w:line="288" w:lineRule="auto" w:before="136"/>
              <w:rPr>
                <w:sz w:val="16"/>
              </w:rPr>
            </w:pPr>
            <w:r>
              <w:rPr>
                <w:sz w:val="16"/>
              </w:rPr>
              <w:t>Can cause oedema, acne, worsen migraine headache, &amp; mood changes;</w:t>
            </w:r>
          </w:p>
        </w:tc>
      </w:tr>
      <w:tr>
        <w:trPr>
          <w:trHeight w:val="239" w:hRule="exact"/>
        </w:trPr>
        <w:tc>
          <w:tcPr>
            <w:tcW w:w="2191" w:type="dxa"/>
            <w:vMerge/>
          </w:tcPr>
          <w:p>
            <w:pPr/>
          </w:p>
        </w:tc>
        <w:tc>
          <w:tcPr>
            <w:tcW w:w="3388" w:type="dxa"/>
          </w:tcPr>
          <w:p>
            <w:pPr/>
          </w:p>
        </w:tc>
        <w:tc>
          <w:tcPr>
            <w:tcW w:w="4364" w:type="dxa"/>
          </w:tcPr>
          <w:p>
            <w:pPr>
              <w:pStyle w:val="TableParagraph"/>
              <w:rPr>
                <w:sz w:val="16"/>
              </w:rPr>
            </w:pPr>
            <w:r>
              <w:rPr>
                <w:sz w:val="16"/>
              </w:rPr>
              <w:t>Monitor for hypokalaemia</w:t>
            </w:r>
          </w:p>
        </w:tc>
      </w:tr>
      <w:tr>
        <w:trPr>
          <w:trHeight w:val="239" w:hRule="exact"/>
        </w:trPr>
        <w:tc>
          <w:tcPr>
            <w:tcW w:w="2191" w:type="dxa"/>
            <w:vMerge/>
          </w:tcPr>
          <w:p>
            <w:pPr/>
          </w:p>
        </w:tc>
        <w:tc>
          <w:tcPr>
            <w:tcW w:w="3388" w:type="dxa"/>
          </w:tcPr>
          <w:p>
            <w:pPr>
              <w:pStyle w:val="TableParagraph"/>
              <w:ind w:left="146"/>
              <w:rPr>
                <w:sz w:val="16"/>
              </w:rPr>
            </w:pPr>
            <w:r>
              <w:rPr>
                <w:sz w:val="16"/>
              </w:rPr>
              <w:t>0.1–0.4 mg orally at bedtime or twice  daily</w:t>
            </w:r>
          </w:p>
        </w:tc>
        <w:tc>
          <w:tcPr>
            <w:tcW w:w="4364" w:type="dxa"/>
          </w:tcPr>
          <w:p>
            <w:pPr>
              <w:pStyle w:val="TableParagraph"/>
              <w:rPr>
                <w:sz w:val="16"/>
              </w:rPr>
            </w:pPr>
            <w:r>
              <w:rPr>
                <w:sz w:val="16"/>
              </w:rPr>
              <w:t>Can causes oedema;</w:t>
            </w:r>
          </w:p>
        </w:tc>
      </w:tr>
      <w:tr>
        <w:trPr>
          <w:trHeight w:val="239" w:hRule="exact"/>
        </w:trPr>
        <w:tc>
          <w:tcPr>
            <w:tcW w:w="2191" w:type="dxa"/>
          </w:tcPr>
          <w:p>
            <w:pPr/>
          </w:p>
        </w:tc>
        <w:tc>
          <w:tcPr>
            <w:tcW w:w="3388" w:type="dxa"/>
          </w:tcPr>
          <w:p>
            <w:pPr/>
          </w:p>
        </w:tc>
        <w:tc>
          <w:tcPr>
            <w:tcW w:w="4364" w:type="dxa"/>
          </w:tcPr>
          <w:p>
            <w:pPr>
              <w:pStyle w:val="TableParagraph"/>
              <w:rPr>
                <w:sz w:val="16"/>
              </w:rPr>
            </w:pPr>
            <w:r>
              <w:rPr>
                <w:sz w:val="16"/>
              </w:rPr>
              <w:t>Monitor for hyponatraemia</w:t>
            </w:r>
          </w:p>
        </w:tc>
      </w:tr>
      <w:tr>
        <w:trPr>
          <w:trHeight w:val="717" w:hRule="exact"/>
        </w:trPr>
        <w:tc>
          <w:tcPr>
            <w:tcW w:w="2191" w:type="dxa"/>
            <w:vMerge w:val="restart"/>
          </w:tcPr>
          <w:p>
            <w:pPr>
              <w:pStyle w:val="TableParagraph"/>
              <w:spacing w:before="23"/>
              <w:ind w:left="139"/>
              <w:rPr>
                <w:b/>
                <w:i/>
                <w:sz w:val="16"/>
              </w:rPr>
            </w:pPr>
            <w:r>
              <w:rPr>
                <w:b/>
                <w:i/>
                <w:sz w:val="16"/>
              </w:rPr>
              <w:t>Other drugs</w:t>
            </w:r>
          </w:p>
          <w:p>
            <w:pPr>
              <w:pStyle w:val="TableParagraph"/>
              <w:spacing w:before="40"/>
              <w:ind w:left="299"/>
              <w:rPr>
                <w:sz w:val="16"/>
              </w:rPr>
            </w:pPr>
            <w:r>
              <w:rPr>
                <w:sz w:val="16"/>
              </w:rPr>
              <w:t>Clonidine</w:t>
            </w:r>
          </w:p>
          <w:p>
            <w:pPr>
              <w:pStyle w:val="TableParagraph"/>
              <w:spacing w:before="5"/>
              <w:ind w:left="0"/>
              <w:rPr>
                <w:sz w:val="22"/>
              </w:rPr>
            </w:pPr>
          </w:p>
          <w:p>
            <w:pPr>
              <w:pStyle w:val="TableParagraph"/>
              <w:spacing w:line="288" w:lineRule="auto" w:before="0"/>
              <w:ind w:left="299" w:right="288"/>
              <w:rPr>
                <w:sz w:val="16"/>
              </w:rPr>
            </w:pPr>
            <w:r>
              <w:rPr>
                <w:w w:val="95"/>
                <w:sz w:val="16"/>
              </w:rPr>
              <w:t>Methyldopa </w:t>
            </w:r>
            <w:r>
              <w:rPr>
                <w:sz w:val="16"/>
              </w:rPr>
              <w:t>Guanfacine</w:t>
            </w:r>
          </w:p>
        </w:tc>
        <w:tc>
          <w:tcPr>
            <w:tcW w:w="3388" w:type="dxa"/>
          </w:tcPr>
          <w:p>
            <w:pPr>
              <w:pStyle w:val="TableParagraph"/>
              <w:spacing w:before="7"/>
              <w:ind w:left="0"/>
              <w:rPr>
                <w:sz w:val="20"/>
              </w:rPr>
            </w:pPr>
          </w:p>
          <w:p>
            <w:pPr>
              <w:pStyle w:val="TableParagraph"/>
              <w:spacing w:line="288" w:lineRule="auto" w:before="1"/>
              <w:ind w:left="146" w:right="302"/>
              <w:rPr>
                <w:sz w:val="16"/>
              </w:rPr>
            </w:pPr>
            <w:r>
              <w:rPr>
                <w:sz w:val="16"/>
              </w:rPr>
              <w:t>0.1–0.2 mg orally at bedtime or up to 2–3 times daily</w:t>
            </w:r>
          </w:p>
        </w:tc>
        <w:tc>
          <w:tcPr>
            <w:tcW w:w="4364" w:type="dxa"/>
          </w:tcPr>
          <w:p>
            <w:pPr>
              <w:pStyle w:val="TableParagraph"/>
              <w:spacing w:before="7"/>
              <w:ind w:left="0"/>
              <w:rPr>
                <w:sz w:val="20"/>
              </w:rPr>
            </w:pPr>
          </w:p>
          <w:p>
            <w:pPr>
              <w:pStyle w:val="TableParagraph"/>
              <w:spacing w:line="288" w:lineRule="auto" w:before="1"/>
              <w:ind w:right="440"/>
              <w:rPr>
                <w:sz w:val="16"/>
              </w:rPr>
            </w:pPr>
            <w:r>
              <w:rPr>
                <w:sz w:val="16"/>
              </w:rPr>
              <w:t>Can cause hypotension &amp; fatigue (drowsiness); Watch for rebound tachycardia as drug wears  off</w:t>
            </w:r>
          </w:p>
        </w:tc>
      </w:tr>
      <w:tr>
        <w:trPr>
          <w:trHeight w:val="239" w:hRule="exact"/>
        </w:trPr>
        <w:tc>
          <w:tcPr>
            <w:tcW w:w="2191" w:type="dxa"/>
            <w:vMerge/>
          </w:tcPr>
          <w:p>
            <w:pPr/>
          </w:p>
        </w:tc>
        <w:tc>
          <w:tcPr>
            <w:tcW w:w="3388" w:type="dxa"/>
            <w:vMerge w:val="restart"/>
          </w:tcPr>
          <w:p>
            <w:pPr>
              <w:pStyle w:val="TableParagraph"/>
              <w:spacing w:line="288" w:lineRule="auto" w:before="16"/>
              <w:ind w:left="146" w:right="378"/>
              <w:rPr>
                <w:sz w:val="16"/>
              </w:rPr>
            </w:pPr>
            <w:r>
              <w:rPr>
                <w:w w:val="105"/>
                <w:sz w:val="16"/>
              </w:rPr>
              <w:t>125–250 mg orally bedtime </w:t>
            </w:r>
            <w:r>
              <w:rPr>
                <w:rFonts w:ascii="Arial" w:hAnsi="Arial"/>
                <w:w w:val="120"/>
                <w:sz w:val="16"/>
              </w:rPr>
              <w:t>6 </w:t>
            </w:r>
            <w:r>
              <w:rPr>
                <w:w w:val="105"/>
                <w:sz w:val="16"/>
              </w:rPr>
              <w:t>morning 1–2 mg orally at bedtime</w:t>
            </w:r>
          </w:p>
        </w:tc>
        <w:tc>
          <w:tcPr>
            <w:tcW w:w="4364" w:type="dxa"/>
          </w:tcPr>
          <w:p>
            <w:pPr>
              <w:pStyle w:val="TableParagraph"/>
              <w:spacing w:before="16"/>
              <w:rPr>
                <w:sz w:val="16"/>
              </w:rPr>
            </w:pPr>
            <w:r>
              <w:rPr>
                <w:sz w:val="16"/>
              </w:rPr>
              <w:t>Can cause hypotension &amp; lethargy if  overdosed</w:t>
            </w:r>
          </w:p>
        </w:tc>
      </w:tr>
      <w:tr>
        <w:trPr>
          <w:trHeight w:val="366" w:hRule="exact"/>
        </w:trPr>
        <w:tc>
          <w:tcPr>
            <w:tcW w:w="2191" w:type="dxa"/>
            <w:vMerge/>
            <w:tcBorders>
              <w:bottom w:val="single" w:sz="6" w:space="0" w:color="E53527"/>
            </w:tcBorders>
          </w:tcPr>
          <w:p>
            <w:pPr/>
          </w:p>
        </w:tc>
        <w:tc>
          <w:tcPr>
            <w:tcW w:w="3388" w:type="dxa"/>
            <w:vMerge/>
            <w:tcBorders>
              <w:bottom w:val="single" w:sz="6" w:space="0" w:color="E53527"/>
            </w:tcBorders>
          </w:tcPr>
          <w:p>
            <w:pPr/>
          </w:p>
        </w:tc>
        <w:tc>
          <w:tcPr>
            <w:tcW w:w="4364" w:type="dxa"/>
            <w:tcBorders>
              <w:bottom w:val="single" w:sz="6" w:space="0" w:color="E53527"/>
            </w:tcBorders>
          </w:tcPr>
          <w:p>
            <w:pPr>
              <w:pStyle w:val="TableParagraph"/>
              <w:rPr>
                <w:sz w:val="16"/>
              </w:rPr>
            </w:pPr>
            <w:r>
              <w:rPr>
                <w:sz w:val="16"/>
              </w:rPr>
              <w:t>Can cause hypotension &amp; lethargy if  overdosed</w:t>
            </w:r>
          </w:p>
        </w:tc>
      </w:tr>
      <w:tr>
        <w:trPr>
          <w:trHeight w:val="458" w:hRule="exact"/>
        </w:trPr>
        <w:tc>
          <w:tcPr>
            <w:tcW w:w="9943" w:type="dxa"/>
            <w:gridSpan w:val="3"/>
            <w:tcBorders>
              <w:top w:val="single" w:sz="6" w:space="0" w:color="E53527"/>
            </w:tcBorders>
            <w:shd w:val="clear" w:color="auto" w:fill="EBF3FC"/>
          </w:tcPr>
          <w:p>
            <w:pPr>
              <w:pStyle w:val="TableParagraph"/>
              <w:spacing w:before="8"/>
              <w:ind w:left="0"/>
              <w:rPr>
                <w:sz w:val="11"/>
              </w:rPr>
            </w:pPr>
          </w:p>
          <w:p>
            <w:pPr>
              <w:pStyle w:val="TableParagraph"/>
              <w:spacing w:before="0"/>
              <w:ind w:left="59"/>
              <w:rPr>
                <w:sz w:val="14"/>
              </w:rPr>
            </w:pPr>
            <w:r>
              <w:rPr>
                <w:sz w:val="14"/>
              </w:rPr>
              <w:t>Abbreviation: POTS, postural orthostatic tachycardia  syndrome.</w:t>
            </w:r>
          </w:p>
        </w:tc>
      </w:tr>
    </w:tbl>
    <w:p>
      <w:pPr>
        <w:pStyle w:val="BodyText"/>
        <w:spacing w:before="9"/>
        <w:rPr>
          <w:sz w:val="24"/>
        </w:rPr>
      </w:pPr>
    </w:p>
    <w:p>
      <w:pPr>
        <w:spacing w:after="0"/>
        <w:rPr>
          <w:sz w:val="24"/>
        </w:rPr>
        <w:sectPr>
          <w:pgSz w:w="11910" w:h="15880"/>
          <w:pgMar w:header="470" w:footer="0" w:top="840" w:bottom="280" w:left="840" w:right="780"/>
        </w:sectPr>
      </w:pPr>
    </w:p>
    <w:p>
      <w:pPr>
        <w:pStyle w:val="BodyText"/>
        <w:spacing w:line="254" w:lineRule="auto" w:before="79"/>
        <w:ind w:left="117" w:right="251" w:hanging="1"/>
        <w:jc w:val="both"/>
      </w:pPr>
      <w:r>
        <w:rPr/>
        <w:drawing>
          <wp:anchor distT="0" distB="0" distL="0" distR="0" allowOverlap="1" layoutInCell="1" locked="0" behindDoc="0" simplePos="0" relativeHeight="1456">
            <wp:simplePos x="0" y="0"/>
            <wp:positionH relativeFrom="page">
              <wp:posOffset>3792867</wp:posOffset>
            </wp:positionH>
            <wp:positionV relativeFrom="paragraph">
              <wp:posOffset>89254</wp:posOffset>
            </wp:positionV>
            <wp:extent cx="12649" cy="2357255"/>
            <wp:effectExtent l="0" t="0" r="0" b="0"/>
            <wp:wrapNone/>
            <wp:docPr id="13" name="image16.png" descr=""/>
            <wp:cNvGraphicFramePr>
              <a:graphicFrameLocks noChangeAspect="1"/>
            </wp:cNvGraphicFramePr>
            <a:graphic>
              <a:graphicData uri="http://schemas.openxmlformats.org/drawingml/2006/picture">
                <pic:pic>
                  <pic:nvPicPr>
                    <pic:cNvPr id="14" name="image16.png"/>
                    <pic:cNvPicPr/>
                  </pic:nvPicPr>
                  <pic:blipFill>
                    <a:blip r:embed="rId26" cstate="print"/>
                    <a:stretch>
                      <a:fillRect/>
                    </a:stretch>
                  </pic:blipFill>
                  <pic:spPr>
                    <a:xfrm>
                      <a:off x="0" y="0"/>
                      <a:ext cx="12649" cy="2357255"/>
                    </a:xfrm>
                    <a:prstGeom prst="rect">
                      <a:avLst/>
                    </a:prstGeom>
                  </pic:spPr>
                </pic:pic>
              </a:graphicData>
            </a:graphic>
          </wp:anchor>
        </w:drawing>
      </w:r>
      <w:r>
        <w:rPr/>
        <w:pict>
          <v:group style="position:absolute;margin-left:47.820499pt;margin-top:-477.932129pt;width:503.15pt;height:462.6pt;mso-position-horizontal-relative:page;mso-position-vertical-relative:paragraph;z-index:-41320" coordorigin="956,-9559" coordsize="10063,9252">
            <v:shape style="position:absolute;left:956;top:-9258;width:10063;height:8951" coordorigin="956,-9258" coordsize="10063,8951" path="m11019,-766l956,-766,956,-307,11019,-307,11019,-766m11019,-9258l10899,-9258,1076,-9258,956,-9258,956,-6827,1076,-6827,1076,-9078,10899,-9078,10899,-6827,11019,-6827,11019,-9258e" filled="true" fillcolor="#ebf3fc" stroked="false">
              <v:path arrowok="t"/>
              <v:fill type="solid"/>
            </v:shape>
            <v:line style="position:absolute" from="1076,-9071" to="10899,-9071" stroked="true" strokeweight=".74707pt" strokecolor="#e53527">
              <v:stroke dashstyle="solid"/>
            </v:line>
            <v:shape style="position:absolute;left:1156;top:-8800;width:9663;height:20" type="#_x0000_t75" stroked="false">
              <v:imagedata r:id="rId27" o:title=""/>
            </v:shape>
            <v:shape style="position:absolute;left:1076;top:-8513;width:9823;height:20" type="#_x0000_t75" stroked="false">
              <v:imagedata r:id="rId28" o:title=""/>
            </v:shape>
            <v:shape style="position:absolute;left:956;top:-6827;width:10063;height:6062" coordorigin="956,-6827" coordsize="10063,6062" path="m1076,-6827l956,-6827,956,-766,1076,-766,1076,-6827m11019,-6827l10899,-6827,10899,-766,11019,-766,11019,-6827e" filled="true" fillcolor="#ebf3fc" stroked="false">
              <v:path arrowok="t"/>
              <v:fill type="solid"/>
            </v:shape>
            <v:shape style="position:absolute;left:1076;top:-6471;width:9823;height:20" type="#_x0000_t75" stroked="false">
              <v:imagedata r:id="rId29" o:title=""/>
            </v:shape>
            <v:shape style="position:absolute;left:956;top:-9559;width:10063;height:301" coordorigin="956,-9559" coordsize="10063,301" path="m11019,-9559l956,-9559,956,-9457,956,-9258,1076,-9258,10899,-9258,11019,-9258,11019,-9457,11019,-9559e" filled="true" fillcolor="#ebf3fc" stroked="false">
              <v:path arrowok="t"/>
              <v:fill type="solid"/>
            </v:shape>
            <w10:wrap type="none"/>
          </v:group>
        </w:pict>
      </w:r>
      <w:r>
        <w:rPr/>
        <w:t>Propranolol is a non-selective drug that blocks </w:t>
      </w:r>
      <w:r>
        <w:rPr>
          <w:rFonts w:ascii="Arial" w:hAnsi="Arial"/>
          <w:sz w:val="20"/>
        </w:rPr>
        <w:t>β</w:t>
      </w:r>
      <w:r>
        <w:rPr/>
        <w:t>1- adrenergic and </w:t>
      </w:r>
      <w:r>
        <w:rPr>
          <w:rFonts w:ascii="Arial" w:hAnsi="Arial"/>
          <w:sz w:val="20"/>
        </w:rPr>
        <w:t>β</w:t>
      </w:r>
      <w:r>
        <w:rPr/>
        <w:t>2-adrenergic receptors. Low-dose oral propranolol (10–20 mg) improves tachycardia, symptoms [</w:t>
      </w:r>
      <w:hyperlink w:history="true" w:anchor="_bookmark66">
        <w:r>
          <w:rPr>
            <w:color w:val="127EAD"/>
          </w:rPr>
          <w:t>49</w:t>
        </w:r>
      </w:hyperlink>
      <w:r>
        <w:rPr/>
        <w:t>], and exercise capacity in POTS [</w:t>
      </w:r>
      <w:hyperlink w:history="true" w:anchor="_bookmark67">
        <w:r>
          <w:rPr>
            <w:color w:val="127EAD"/>
          </w:rPr>
          <w:t>50</w:t>
        </w:r>
      </w:hyperlink>
      <w:r>
        <w:rPr/>
        <w:t>], whereas higher doses can lead to worsening of symptoms [</w:t>
      </w:r>
      <w:hyperlink w:history="true" w:anchor="_bookmark66">
        <w:r>
          <w:rPr>
            <w:color w:val="127EAD"/>
          </w:rPr>
          <w:t>49</w:t>
        </w:r>
      </w:hyperlink>
      <w:r>
        <w:rPr/>
        <w:t>]. Regular propranolol dosing (every 4 hours or 3–4 times per day) is needed</w:t>
      </w:r>
      <w:r>
        <w:rPr>
          <w:spacing w:val="-6"/>
        </w:rPr>
        <w:t> </w:t>
      </w:r>
      <w:r>
        <w:rPr/>
        <w:t>due</w:t>
      </w:r>
      <w:r>
        <w:rPr>
          <w:spacing w:val="-6"/>
        </w:rPr>
        <w:t> </w:t>
      </w:r>
      <w:r>
        <w:rPr/>
        <w:t>to</w:t>
      </w:r>
      <w:r>
        <w:rPr>
          <w:spacing w:val="-7"/>
        </w:rPr>
        <w:t> </w:t>
      </w:r>
      <w:r>
        <w:rPr/>
        <w:t>its</w:t>
      </w:r>
      <w:r>
        <w:rPr>
          <w:spacing w:val="-6"/>
        </w:rPr>
        <w:t> </w:t>
      </w:r>
      <w:r>
        <w:rPr/>
        <w:t>fairly</w:t>
      </w:r>
      <w:r>
        <w:rPr>
          <w:spacing w:val="-6"/>
        </w:rPr>
        <w:t> </w:t>
      </w:r>
      <w:r>
        <w:rPr/>
        <w:t>short</w:t>
      </w:r>
      <w:r>
        <w:rPr>
          <w:spacing w:val="-6"/>
        </w:rPr>
        <w:t> </w:t>
      </w:r>
      <w:r>
        <w:rPr/>
        <w:t>half-life.</w:t>
      </w:r>
      <w:r>
        <w:rPr>
          <w:spacing w:val="-6"/>
        </w:rPr>
        <w:t> </w:t>
      </w:r>
      <w:r>
        <w:rPr/>
        <w:t>There</w:t>
      </w:r>
      <w:r>
        <w:rPr>
          <w:spacing w:val="-7"/>
        </w:rPr>
        <w:t> </w:t>
      </w:r>
      <w:r>
        <w:rPr/>
        <w:t>has</w:t>
      </w:r>
      <w:r>
        <w:rPr>
          <w:spacing w:val="-6"/>
        </w:rPr>
        <w:t> </w:t>
      </w:r>
      <w:r>
        <w:rPr/>
        <w:t>not</w:t>
      </w:r>
      <w:r>
        <w:rPr>
          <w:spacing w:val="-7"/>
        </w:rPr>
        <w:t> </w:t>
      </w:r>
      <w:r>
        <w:rPr/>
        <w:t>yet</w:t>
      </w:r>
      <w:r>
        <w:rPr>
          <w:spacing w:val="-6"/>
        </w:rPr>
        <w:t> </w:t>
      </w:r>
      <w:r>
        <w:rPr/>
        <w:t>been a study comparing propranolol and ivabradine in those with POTS, but ivabradine is likely better tolerated due to more favourable side effects profile although prohibitive for many due to cost constraints. Pyridostigmine is a</w:t>
      </w:r>
      <w:r>
        <w:rPr>
          <w:spacing w:val="-8"/>
        </w:rPr>
        <w:t> </w:t>
      </w:r>
      <w:r>
        <w:rPr/>
        <w:t>peripheral acetylcholinesterase inhibitor that increases synaptic acetylcholine. Pyridostigmine 30–120 mg orally 2–3 times daily can acutely reduce upright heart rate in POTS patients [</w:t>
      </w:r>
      <w:hyperlink w:history="true" w:anchor="_bookmark68">
        <w:r>
          <w:rPr>
            <w:color w:val="127EAD"/>
          </w:rPr>
          <w:t>51</w:t>
        </w:r>
      </w:hyperlink>
      <w:r>
        <w:rPr/>
        <w:t>]. Pyridostigmine can also help to reduce fatigue and weakness  and  increase  gut  motility,  which  are </w:t>
      </w:r>
      <w:r>
        <w:rPr>
          <w:spacing w:val="44"/>
        </w:rPr>
        <w:t> </w:t>
      </w:r>
      <w:r>
        <w:rPr/>
        <w:t>common</w:t>
      </w:r>
    </w:p>
    <w:p>
      <w:pPr>
        <w:pStyle w:val="BodyText"/>
        <w:spacing w:line="256" w:lineRule="auto" w:before="94"/>
        <w:ind w:left="116" w:right="104"/>
        <w:jc w:val="both"/>
      </w:pPr>
      <w:r>
        <w:rPr/>
        <w:br w:type="column"/>
      </w:r>
      <w:r>
        <w:rPr/>
        <w:t>symptoms in those with POTS and may need to be avoided in patients prone to diarrhoea  [</w:t>
      </w:r>
      <w:hyperlink w:history="true" w:anchor="_bookmark69">
        <w:r>
          <w:rPr>
            <w:color w:val="127EAD"/>
          </w:rPr>
          <w:t>52</w:t>
        </w:r>
      </w:hyperlink>
      <w:r>
        <w:rPr/>
        <w:t>].</w:t>
      </w:r>
    </w:p>
    <w:p>
      <w:pPr>
        <w:pStyle w:val="Heading3"/>
        <w:spacing w:before="162"/>
        <w:ind w:left="116"/>
      </w:pPr>
      <w:r>
        <w:rPr/>
        <w:t>Blood volume expander</w:t>
      </w:r>
    </w:p>
    <w:p>
      <w:pPr>
        <w:pStyle w:val="BodyText"/>
        <w:spacing w:line="256" w:lineRule="auto"/>
        <w:ind w:left="116" w:right="104"/>
        <w:jc w:val="both"/>
      </w:pPr>
      <w:r>
        <w:rPr/>
        <w:t>Fludrocortisone (0.1–0.2 mg daily) is a synthetic version of aldosterone that promotes renal sodium absorption and sec- ondary blood volume expansion. Although this is recom- mended in expert consensus statements and used relatively typically,</w:t>
      </w:r>
      <w:r>
        <w:rPr>
          <w:spacing w:val="-15"/>
        </w:rPr>
        <w:t> </w:t>
      </w:r>
      <w:r>
        <w:rPr/>
        <w:t>its</w:t>
      </w:r>
      <w:r>
        <w:rPr>
          <w:spacing w:val="-14"/>
        </w:rPr>
        <w:t> </w:t>
      </w:r>
      <w:r>
        <w:rPr/>
        <w:t>evidence</w:t>
      </w:r>
      <w:r>
        <w:rPr>
          <w:spacing w:val="-15"/>
        </w:rPr>
        <w:t> </w:t>
      </w:r>
      <w:r>
        <w:rPr/>
        <w:t>in</w:t>
      </w:r>
      <w:r>
        <w:rPr>
          <w:spacing w:val="-14"/>
        </w:rPr>
        <w:t> </w:t>
      </w:r>
      <w:r>
        <w:rPr/>
        <w:t>POTS</w:t>
      </w:r>
      <w:r>
        <w:rPr>
          <w:spacing w:val="-15"/>
        </w:rPr>
        <w:t> </w:t>
      </w:r>
      <w:r>
        <w:rPr/>
        <w:t>remains</w:t>
      </w:r>
      <w:r>
        <w:rPr>
          <w:spacing w:val="-15"/>
        </w:rPr>
        <w:t> </w:t>
      </w:r>
      <w:r>
        <w:rPr/>
        <w:t>limited</w:t>
      </w:r>
      <w:r>
        <w:rPr>
          <w:spacing w:val="-14"/>
        </w:rPr>
        <w:t> </w:t>
      </w:r>
      <w:r>
        <w:rPr/>
        <w:t>to</w:t>
      </w:r>
      <w:r>
        <w:rPr>
          <w:spacing w:val="-15"/>
        </w:rPr>
        <w:t> </w:t>
      </w:r>
      <w:r>
        <w:rPr/>
        <w:t>a</w:t>
      </w:r>
      <w:r>
        <w:rPr>
          <w:spacing w:val="-15"/>
        </w:rPr>
        <w:t> </w:t>
      </w:r>
      <w:r>
        <w:rPr/>
        <w:t>small</w:t>
      </w:r>
      <w:r>
        <w:rPr>
          <w:spacing w:val="-15"/>
        </w:rPr>
        <w:t> </w:t>
      </w:r>
      <w:r>
        <w:rPr/>
        <w:t>case series [</w:t>
      </w:r>
      <w:hyperlink w:history="true" w:anchor="_bookmark61">
        <w:r>
          <w:rPr>
            <w:color w:val="127EAD"/>
          </w:rPr>
          <w:t>44</w:t>
        </w:r>
      </w:hyperlink>
      <w:r>
        <w:rPr/>
        <w:t>]. The side effects of fludrocortisone can be prob- lematic at higher doses to include hypokalaemia, mood dis- turbances,</w:t>
      </w:r>
      <w:r>
        <w:rPr>
          <w:spacing w:val="-31"/>
        </w:rPr>
        <w:t> </w:t>
      </w:r>
      <w:r>
        <w:rPr/>
        <w:t>migraine</w:t>
      </w:r>
      <w:r>
        <w:rPr>
          <w:spacing w:val="-31"/>
        </w:rPr>
        <w:t> </w:t>
      </w:r>
      <w:r>
        <w:rPr/>
        <w:t>headache,</w:t>
      </w:r>
      <w:r>
        <w:rPr>
          <w:spacing w:val="-31"/>
        </w:rPr>
        <w:t> </w:t>
      </w:r>
      <w:r>
        <w:rPr/>
        <w:t>and</w:t>
      </w:r>
      <w:r>
        <w:rPr>
          <w:spacing w:val="-31"/>
        </w:rPr>
        <w:t> </w:t>
      </w:r>
      <w:r>
        <w:rPr/>
        <w:t>weight</w:t>
      </w:r>
      <w:r>
        <w:rPr>
          <w:spacing w:val="-31"/>
        </w:rPr>
        <w:t> </w:t>
      </w:r>
      <w:r>
        <w:rPr/>
        <w:t>gain.</w:t>
      </w:r>
      <w:r>
        <w:rPr>
          <w:spacing w:val="-31"/>
        </w:rPr>
        <w:t> </w:t>
      </w:r>
      <w:r>
        <w:rPr>
          <w:spacing w:val="-2"/>
        </w:rPr>
        <w:t>Desmopressin </w:t>
      </w:r>
      <w:r>
        <w:rPr/>
        <w:t>(DDAVP; 0.1–0.4 mg up to twice daily) is a synthetic vaso- pressin</w:t>
      </w:r>
      <w:r>
        <w:rPr>
          <w:spacing w:val="-28"/>
        </w:rPr>
        <w:t> </w:t>
      </w:r>
      <w:r>
        <w:rPr/>
        <w:t>that</w:t>
      </w:r>
      <w:r>
        <w:rPr>
          <w:spacing w:val="-27"/>
        </w:rPr>
        <w:t> </w:t>
      </w:r>
      <w:r>
        <w:rPr/>
        <w:t>promotes</w:t>
      </w:r>
      <w:r>
        <w:rPr>
          <w:spacing w:val="-28"/>
        </w:rPr>
        <w:t> </w:t>
      </w:r>
      <w:r>
        <w:rPr/>
        <w:t>renal</w:t>
      </w:r>
      <w:r>
        <w:rPr>
          <w:spacing w:val="-27"/>
        </w:rPr>
        <w:t> </w:t>
      </w:r>
      <w:r>
        <w:rPr/>
        <w:t>free-water</w:t>
      </w:r>
      <w:r>
        <w:rPr>
          <w:spacing w:val="-28"/>
        </w:rPr>
        <w:t> </w:t>
      </w:r>
      <w:r>
        <w:rPr/>
        <w:t>retention</w:t>
      </w:r>
      <w:r>
        <w:rPr>
          <w:spacing w:val="-28"/>
        </w:rPr>
        <w:t> </w:t>
      </w:r>
      <w:r>
        <w:rPr/>
        <w:t>and</w:t>
      </w:r>
      <w:r>
        <w:rPr>
          <w:spacing w:val="-29"/>
        </w:rPr>
        <w:t> </w:t>
      </w:r>
      <w:r>
        <w:rPr/>
        <w:t>is</w:t>
      </w:r>
      <w:r>
        <w:rPr>
          <w:spacing w:val="-27"/>
        </w:rPr>
        <w:t> </w:t>
      </w:r>
      <w:r>
        <w:rPr/>
        <w:t>another option for consideration for blood volume expansion. It re- quires close monitoring for potential hyponatraemia</w:t>
      </w:r>
      <w:r>
        <w:rPr>
          <w:spacing w:val="-11"/>
        </w:rPr>
        <w:t> </w:t>
      </w:r>
      <w:r>
        <w:rPr/>
        <w:t>[</w:t>
      </w:r>
      <w:hyperlink w:history="true" w:anchor="_bookmark70">
        <w:r>
          <w:rPr>
            <w:color w:val="127EAD"/>
          </w:rPr>
          <w:t>53</w:t>
        </w:r>
      </w:hyperlink>
      <w:r>
        <w:rPr/>
        <w:t>,</w:t>
      </w:r>
      <w:hyperlink w:history="true" w:anchor="_bookmark71">
        <w:r>
          <w:rPr>
            <w:color w:val="127EAD"/>
          </w:rPr>
          <w:t>54</w:t>
        </w:r>
      </w:hyperlink>
      <w:r>
        <w:rPr/>
        <w:t>].</w:t>
      </w:r>
    </w:p>
    <w:p>
      <w:pPr>
        <w:spacing w:after="0" w:line="256" w:lineRule="auto"/>
        <w:jc w:val="both"/>
        <w:sectPr>
          <w:type w:val="continuous"/>
          <w:pgSz w:w="11910" w:h="15880"/>
          <w:pgMar w:top="660" w:bottom="280" w:left="840" w:right="780"/>
          <w:cols w:num="2" w:equalWidth="0">
            <w:col w:w="5153" w:space="126"/>
            <w:col w:w="5011"/>
          </w:cols>
        </w:sectPr>
      </w:pPr>
    </w:p>
    <w:p>
      <w:pPr>
        <w:pStyle w:val="BodyText"/>
        <w:spacing w:before="8"/>
        <w:rPr>
          <w:sz w:val="25"/>
        </w:rPr>
      </w:pPr>
    </w:p>
    <w:p>
      <w:pPr>
        <w:spacing w:after="0"/>
        <w:rPr>
          <w:sz w:val="25"/>
        </w:rPr>
        <w:sectPr>
          <w:pgSz w:w="11910" w:h="15880"/>
          <w:pgMar w:header="471" w:footer="0" w:top="840" w:bottom="280" w:left="780" w:right="840"/>
        </w:sectPr>
      </w:pPr>
    </w:p>
    <w:p>
      <w:pPr>
        <w:pStyle w:val="BodyText"/>
        <w:spacing w:line="256" w:lineRule="auto" w:before="93"/>
        <w:ind w:left="106" w:right="253"/>
        <w:jc w:val="both"/>
      </w:pPr>
      <w:r>
        <w:rPr/>
        <w:drawing>
          <wp:anchor distT="0" distB="0" distL="0" distR="0" allowOverlap="1" layoutInCell="1" locked="0" behindDoc="0" simplePos="0" relativeHeight="1504">
            <wp:simplePos x="0" y="0"/>
            <wp:positionH relativeFrom="page">
              <wp:posOffset>3748455</wp:posOffset>
            </wp:positionH>
            <wp:positionV relativeFrom="page">
              <wp:posOffset>834961</wp:posOffset>
            </wp:positionV>
            <wp:extent cx="12649" cy="8499826"/>
            <wp:effectExtent l="0" t="0" r="0" b="0"/>
            <wp:wrapNone/>
            <wp:docPr id="15" name="image20.png" descr=""/>
            <wp:cNvGraphicFramePr>
              <a:graphicFrameLocks noChangeAspect="1"/>
            </wp:cNvGraphicFramePr>
            <a:graphic>
              <a:graphicData uri="http://schemas.openxmlformats.org/drawingml/2006/picture">
                <pic:pic>
                  <pic:nvPicPr>
                    <pic:cNvPr id="16" name="image20.png"/>
                    <pic:cNvPicPr/>
                  </pic:nvPicPr>
                  <pic:blipFill>
                    <a:blip r:embed="rId30" cstate="print"/>
                    <a:stretch>
                      <a:fillRect/>
                    </a:stretch>
                  </pic:blipFill>
                  <pic:spPr>
                    <a:xfrm>
                      <a:off x="0" y="0"/>
                      <a:ext cx="12649" cy="8499826"/>
                    </a:xfrm>
                    <a:prstGeom prst="rect">
                      <a:avLst/>
                    </a:prstGeom>
                  </pic:spPr>
                </pic:pic>
              </a:graphicData>
            </a:graphic>
          </wp:anchor>
        </w:drawing>
      </w:r>
      <w:bookmarkStart w:name="Other treatments" w:id="33"/>
      <w:bookmarkEnd w:id="33"/>
      <w:r>
        <w:rPr/>
      </w:r>
      <w:bookmarkStart w:name="Exercise Therapy for POTS" w:id="34"/>
      <w:bookmarkEnd w:id="34"/>
      <w:r>
        <w:rPr/>
      </w:r>
      <w:bookmarkStart w:name="Special Considerations for POTS" w:id="35"/>
      <w:bookmarkEnd w:id="35"/>
      <w:r>
        <w:rPr/>
      </w:r>
      <w:r>
        <w:rPr/>
        <w:t>Intermittent</w:t>
      </w:r>
      <w:r>
        <w:rPr>
          <w:spacing w:val="-27"/>
        </w:rPr>
        <w:t> </w:t>
      </w:r>
      <w:r>
        <w:rPr/>
        <w:t>intravenous</w:t>
      </w:r>
      <w:r>
        <w:rPr>
          <w:spacing w:val="-27"/>
        </w:rPr>
        <w:t> </w:t>
      </w:r>
      <w:r>
        <w:rPr/>
        <w:t>fluid</w:t>
      </w:r>
      <w:r>
        <w:rPr>
          <w:spacing w:val="-27"/>
        </w:rPr>
        <w:t> </w:t>
      </w:r>
      <w:r>
        <w:rPr/>
        <w:t>supplementation</w:t>
      </w:r>
      <w:r>
        <w:rPr>
          <w:spacing w:val="-27"/>
        </w:rPr>
        <w:t> </w:t>
      </w:r>
      <w:r>
        <w:rPr/>
        <w:t>may</w:t>
      </w:r>
      <w:r>
        <w:rPr>
          <w:spacing w:val="-27"/>
        </w:rPr>
        <w:t> </w:t>
      </w:r>
      <w:r>
        <w:rPr/>
        <w:t>be</w:t>
      </w:r>
      <w:r>
        <w:rPr>
          <w:spacing w:val="-27"/>
        </w:rPr>
        <w:t> </w:t>
      </w:r>
      <w:r>
        <w:rPr>
          <w:spacing w:val="-2"/>
        </w:rPr>
        <w:t>useful </w:t>
      </w:r>
      <w:r>
        <w:rPr/>
        <w:t>in those with poor oral intake as bridging therapy or </w:t>
      </w:r>
      <w:r>
        <w:rPr>
          <w:spacing w:val="-2"/>
        </w:rPr>
        <w:t>during </w:t>
      </w:r>
      <w:r>
        <w:rPr/>
        <w:t>acute POTS flares to reduce POTS symptoms and improve quality of life given that its efficacy has been shown in</w:t>
      </w:r>
      <w:r>
        <w:rPr>
          <w:spacing w:val="-17"/>
        </w:rPr>
        <w:t> </w:t>
      </w:r>
      <w:r>
        <w:rPr/>
        <w:t>those with drug-resistant orthostatic intolerance [</w:t>
      </w:r>
      <w:hyperlink w:history="true" w:anchor="_bookmark72">
        <w:r>
          <w:rPr>
            <w:color w:val="127EAD"/>
          </w:rPr>
          <w:t>55</w:t>
        </w:r>
      </w:hyperlink>
      <w:r>
        <w:rPr/>
        <w:t>]. However, there is no evidence to support use of regular intravenous fluids in the long-term due to the risks and complications associated</w:t>
      </w:r>
      <w:r>
        <w:rPr>
          <w:spacing w:val="-18"/>
        </w:rPr>
        <w:t> </w:t>
      </w:r>
      <w:r>
        <w:rPr/>
        <w:t>with</w:t>
      </w:r>
      <w:r>
        <w:rPr>
          <w:spacing w:val="-17"/>
        </w:rPr>
        <w:t> </w:t>
      </w:r>
      <w:r>
        <w:rPr/>
        <w:t>chronic</w:t>
      </w:r>
      <w:r>
        <w:rPr>
          <w:spacing w:val="-17"/>
        </w:rPr>
        <w:t> </w:t>
      </w:r>
      <w:r>
        <w:rPr/>
        <w:t>central</w:t>
      </w:r>
      <w:r>
        <w:rPr>
          <w:spacing w:val="-17"/>
        </w:rPr>
        <w:t> </w:t>
      </w:r>
      <w:r>
        <w:rPr/>
        <w:t>venous</w:t>
      </w:r>
      <w:r>
        <w:rPr>
          <w:spacing w:val="-17"/>
        </w:rPr>
        <w:t> </w:t>
      </w:r>
      <w:r>
        <w:rPr/>
        <w:t>access</w:t>
      </w:r>
      <w:r>
        <w:rPr>
          <w:spacing w:val="-18"/>
        </w:rPr>
        <w:t> </w:t>
      </w:r>
      <w:r>
        <w:rPr/>
        <w:t>[</w:t>
      </w:r>
      <w:hyperlink w:history="true" w:anchor="_bookmark23">
        <w:r>
          <w:rPr>
            <w:color w:val="127EAD"/>
          </w:rPr>
          <w:t>2</w:t>
        </w:r>
      </w:hyperlink>
      <w:r>
        <w:rPr/>
        <w:t>].</w:t>
      </w:r>
    </w:p>
    <w:p>
      <w:pPr>
        <w:pStyle w:val="Heading3"/>
        <w:spacing w:before="162"/>
      </w:pPr>
      <w:r>
        <w:rPr/>
        <w:t>Other treatments</w:t>
      </w:r>
    </w:p>
    <w:p>
      <w:pPr>
        <w:pStyle w:val="BodyText"/>
        <w:spacing w:line="256" w:lineRule="auto"/>
        <w:ind w:left="106" w:right="251"/>
        <w:jc w:val="both"/>
      </w:pPr>
      <w:r>
        <w:rPr/>
        <w:t>Central sympatholytic drugs (clonidine [up to 0.1–0.2 mg orally at bedtime or as needed], methyldopa [125–250 mg orally at bedtime], and guanfacine [1–2 mg orally at bedtime]) [</w:t>
      </w:r>
      <w:hyperlink w:history="true" w:anchor="_bookmark45">
        <w:r>
          <w:rPr>
            <w:color w:val="127EAD"/>
          </w:rPr>
          <w:t>28</w:t>
        </w:r>
      </w:hyperlink>
      <w:r>
        <w:rPr/>
        <w:t>,</w:t>
      </w:r>
      <w:hyperlink w:history="true" w:anchor="_bookmark73">
        <w:r>
          <w:rPr>
            <w:color w:val="127EAD"/>
          </w:rPr>
          <w:t>56</w:t>
        </w:r>
      </w:hyperlink>
      <w:r>
        <w:rPr/>
        <w:t>] can be useful in patients with heightened sympathetic nervous system activity or very hyper- adrenergic features, although the evidence supporting their use in POTS remains poor. These drugs have narrow ther- apeutic ranges, so it important to start with low doses. Immunotherapy may benefit a subset of POTS patients with suspected or confirmed autoimmune involvement [</w:t>
      </w:r>
      <w:hyperlink w:history="true" w:anchor="_bookmark74">
        <w:r>
          <w:rPr>
            <w:color w:val="127EAD"/>
          </w:rPr>
          <w:t>57</w:t>
        </w:r>
      </w:hyperlink>
      <w:r>
        <w:rPr/>
        <w:t>,</w:t>
      </w:r>
      <w:hyperlink w:history="true" w:anchor="_bookmark75">
        <w:r>
          <w:rPr>
            <w:color w:val="127EAD"/>
          </w:rPr>
          <w:t>58</w:t>
        </w:r>
      </w:hyperlink>
      <w:r>
        <w:rPr/>
        <w:t>]. Case reports and small series have shown improvements with intravenous immunoglobulin, plasma exchange, corti- costeroids, and biologics, although data are limited [</w:t>
      </w:r>
      <w:hyperlink w:history="true" w:anchor="_bookmark74">
        <w:r>
          <w:rPr>
            <w:color w:val="127EAD"/>
          </w:rPr>
          <w:t>57–61</w:t>
        </w:r>
      </w:hyperlink>
      <w:r>
        <w:rPr/>
        <w:t>]. A single small randomised controlled trial of intravenous immunoglobulin showed no significant benefit, although larger studies are warranted to clarify its role [</w:t>
      </w:r>
      <w:hyperlink w:history="true" w:anchor="_bookmark76">
        <w:r>
          <w:rPr>
            <w:color w:val="127EAD"/>
          </w:rPr>
          <w:t>62</w:t>
        </w:r>
      </w:hyperlink>
      <w:r>
        <w:rPr/>
        <w:t>]. Taken together, immunotherapy is under investigation in clinical trials</w:t>
      </w:r>
      <w:r>
        <w:rPr>
          <w:spacing w:val="-6"/>
        </w:rPr>
        <w:t> </w:t>
      </w:r>
      <w:r>
        <w:rPr/>
        <w:t>and</w:t>
      </w:r>
      <w:r>
        <w:rPr>
          <w:spacing w:val="-6"/>
        </w:rPr>
        <w:t> </w:t>
      </w:r>
      <w:r>
        <w:rPr/>
        <w:t>limited</w:t>
      </w:r>
      <w:r>
        <w:rPr>
          <w:spacing w:val="-6"/>
        </w:rPr>
        <w:t> </w:t>
      </w:r>
      <w:r>
        <w:rPr/>
        <w:t>to</w:t>
      </w:r>
      <w:r>
        <w:rPr>
          <w:spacing w:val="-6"/>
        </w:rPr>
        <w:t> </w:t>
      </w:r>
      <w:r>
        <w:rPr/>
        <w:t>compassionate</w:t>
      </w:r>
      <w:r>
        <w:rPr>
          <w:spacing w:val="-6"/>
        </w:rPr>
        <w:t> </w:t>
      </w:r>
      <w:r>
        <w:rPr/>
        <w:t>use</w:t>
      </w:r>
      <w:r>
        <w:rPr>
          <w:spacing w:val="-6"/>
        </w:rPr>
        <w:t> </w:t>
      </w:r>
      <w:r>
        <w:rPr/>
        <w:t>in</w:t>
      </w:r>
      <w:r>
        <w:rPr>
          <w:spacing w:val="-5"/>
        </w:rPr>
        <w:t> </w:t>
      </w:r>
      <w:r>
        <w:rPr/>
        <w:t>selected</w:t>
      </w:r>
      <w:r>
        <w:rPr>
          <w:spacing w:val="-6"/>
        </w:rPr>
        <w:t> </w:t>
      </w:r>
      <w:r>
        <w:rPr/>
        <w:t>refractory cases with immune-mediated aetiology or in those with comorbid systemic autoimmune conditions. Non-invasive auricular vagal nerve stimulation has recently been shown to reduce orthostatic tachycardia in POTS [</w:t>
      </w:r>
      <w:hyperlink w:history="true" w:anchor="_bookmark77">
        <w:r>
          <w:rPr>
            <w:color w:val="127EAD"/>
          </w:rPr>
          <w:t>63</w:t>
        </w:r>
      </w:hyperlink>
      <w:r>
        <w:rPr/>
        <w:t>,</w:t>
      </w:r>
      <w:hyperlink w:history="true" w:anchor="_bookmark78">
        <w:r>
          <w:rPr>
            <w:color w:val="127EAD"/>
          </w:rPr>
          <w:t>64</w:t>
        </w:r>
      </w:hyperlink>
      <w:r>
        <w:rPr/>
        <w:t>]. Further studies are needed to delineate the optimal stimulation site, frequency, intensity and duration, its effect on POTS symptoms, and the mechanisms of benefit </w:t>
      </w:r>
      <w:r>
        <w:rPr>
          <w:spacing w:val="20"/>
        </w:rPr>
        <w:t> </w:t>
      </w:r>
      <w:r>
        <w:rPr/>
        <w:t>[</w:t>
      </w:r>
      <w:hyperlink w:history="true" w:anchor="_bookmark79">
        <w:r>
          <w:rPr>
            <w:color w:val="127EAD"/>
          </w:rPr>
          <w:t>65</w:t>
        </w:r>
      </w:hyperlink>
      <w:r>
        <w:rPr/>
        <w:t>].</w:t>
      </w:r>
    </w:p>
    <w:p>
      <w:pPr>
        <w:pStyle w:val="BodyText"/>
        <w:spacing w:before="7"/>
        <w:rPr>
          <w:sz w:val="28"/>
        </w:rPr>
      </w:pPr>
    </w:p>
    <w:p>
      <w:pPr>
        <w:pStyle w:val="Heading2"/>
      </w:pPr>
      <w:r>
        <w:rPr>
          <w:color w:val="0093D6"/>
        </w:rPr>
        <w:t>Exercise Therapy for POTS</w:t>
      </w:r>
    </w:p>
    <w:p>
      <w:pPr>
        <w:pStyle w:val="BodyText"/>
        <w:spacing w:line="256" w:lineRule="auto" w:before="39"/>
        <w:ind w:left="106" w:right="252"/>
        <w:jc w:val="both"/>
      </w:pPr>
      <w:r>
        <w:rPr/>
        <w:t>Exercise is a usually recommended non-pharmacological intervention for POTS, offering several physiological and psychological benefits. It enhances venous return, cardiac reserve, and stroke volume, helping to stabilise cardiac output and reduce compensatory tachycardia [</w:t>
      </w:r>
      <w:hyperlink w:history="true" w:anchor="_bookmark80">
        <w:r>
          <w:rPr>
            <w:color w:val="127EAD"/>
          </w:rPr>
          <w:t>66</w:t>
        </w:r>
      </w:hyperlink>
      <w:r>
        <w:rPr/>
        <w:t>]. Regular activity may also increase plasma volume via upregulation of vasopressin and renin and improving overall circulatory stability [</w:t>
      </w:r>
      <w:hyperlink w:history="true" w:anchor="_bookmark80">
        <w:r>
          <w:rPr>
            <w:color w:val="127EAD"/>
          </w:rPr>
          <w:t>66</w:t>
        </w:r>
      </w:hyperlink>
      <w:r>
        <w:rPr/>
        <w:t>]. Importantly, exercise has been associated with improved cerebral perfusion, potentially mitigating symp- toms related to orthostatic intolerance and cognitive dysfunction. Additionally, it may reduce systemic inflam- mation and support mood regulation through neuroendo- crine and autonomic modulation [</w:t>
      </w:r>
      <w:hyperlink w:history="true" w:anchor="_bookmark80">
        <w:r>
          <w:rPr>
            <w:color w:val="127EAD"/>
          </w:rPr>
          <w:t>66</w:t>
        </w:r>
      </w:hyperlink>
      <w:r>
        <w:rPr/>
        <w:t>]. Non-upright exercise with a focus on aerobic reconditioning has been shown to improve cardiovascular haemodynamic and symptoms in patients with POTS [</w:t>
      </w:r>
      <w:hyperlink w:history="true" w:anchor="_bookmark51">
        <w:r>
          <w:rPr>
            <w:color w:val="127EAD"/>
          </w:rPr>
          <w:t>34</w:t>
        </w:r>
      </w:hyperlink>
      <w:r>
        <w:rPr/>
        <w:t>].</w:t>
      </w:r>
    </w:p>
    <w:p>
      <w:pPr>
        <w:pStyle w:val="BodyText"/>
        <w:spacing w:line="256" w:lineRule="auto"/>
        <w:ind w:left="106" w:right="252" w:firstLine="179"/>
        <w:jc w:val="both"/>
      </w:pPr>
      <w:r>
        <w:rPr/>
        <w:t>Several key features of POTS, such as exercise</w:t>
      </w:r>
      <w:r>
        <w:rPr>
          <w:spacing w:val="-23"/>
        </w:rPr>
        <w:t> </w:t>
      </w:r>
      <w:r>
        <w:rPr/>
        <w:t>intolerance, cerebral hypoperfusion, fatigue, and orthostatic symptoms, pose   significant    barriers    to    initiating    and </w:t>
      </w:r>
      <w:r>
        <w:rPr>
          <w:spacing w:val="3"/>
        </w:rPr>
        <w:t> </w:t>
      </w:r>
      <w:r>
        <w:rPr/>
        <w:t>sustaining</w:t>
      </w:r>
    </w:p>
    <w:p>
      <w:pPr>
        <w:pStyle w:val="BodyText"/>
        <w:spacing w:line="256" w:lineRule="auto" w:before="93"/>
        <w:ind w:left="106" w:right="114"/>
        <w:jc w:val="both"/>
      </w:pPr>
      <w:r>
        <w:rPr/>
        <w:br w:type="column"/>
      </w:r>
      <w:r>
        <w:rPr/>
        <w:t>structured exercise programs. Despite these challenges, several protocols have been developed to support gradual reconditioning in this population, including the Levine/ Dallas protocol [</w:t>
      </w:r>
      <w:hyperlink w:history="true" w:anchor="_bookmark81">
        <w:r>
          <w:rPr>
            <w:color w:val="127EAD"/>
          </w:rPr>
          <w:t>67</w:t>
        </w:r>
      </w:hyperlink>
      <w:r>
        <w:rPr/>
        <w:t>], the Children’s Hospital of Philadelphia protocol, Autonomic Conditioning Therapy [</w:t>
      </w:r>
      <w:hyperlink w:history="true" w:anchor="_bookmark82">
        <w:r>
          <w:rPr>
            <w:color w:val="127EAD"/>
          </w:rPr>
          <w:t>68</w:t>
        </w:r>
      </w:hyperlink>
      <w:r>
        <w:rPr/>
        <w:t>], and Autonomic Disorder Adaptive Physical Therapy [</w:t>
      </w:r>
      <w:hyperlink w:history="true" w:anchor="_bookmark83">
        <w:r>
          <w:rPr>
            <w:color w:val="127EAD"/>
          </w:rPr>
          <w:t>69</w:t>
        </w:r>
      </w:hyperlink>
      <w:r>
        <w:rPr/>
        <w:t>]. Despite reduced symptom burden being significant in those who are able to complete the protocols, high drop-out rates have been observed [</w:t>
      </w:r>
      <w:hyperlink w:history="true" w:anchor="_bookmark84">
        <w:r>
          <w:rPr>
            <w:color w:val="127EAD"/>
          </w:rPr>
          <w:t>70</w:t>
        </w:r>
      </w:hyperlink>
      <w:r>
        <w:rPr/>
        <w:t>,</w:t>
      </w:r>
      <w:hyperlink w:history="true" w:anchor="_bookmark85">
        <w:r>
          <w:rPr>
            <w:color w:val="127EAD"/>
          </w:rPr>
          <w:t>71</w:t>
        </w:r>
      </w:hyperlink>
      <w:r>
        <w:rPr/>
        <w:t>]. Unfortunately, existing reha- bilitation models often fail to account for severe orthostatic intolerance and other unique needs of patients with co- morbid myalgic encephalomyelitis/chronic fatigue syn- drome [</w:t>
      </w:r>
      <w:hyperlink w:history="true" w:anchor="_bookmark27">
        <w:r>
          <w:rPr>
            <w:color w:val="127EAD"/>
          </w:rPr>
          <w:t>6</w:t>
        </w:r>
      </w:hyperlink>
      <w:r>
        <w:rPr/>
        <w:t>,</w:t>
      </w:r>
      <w:hyperlink w:history="true" w:anchor="_bookmark30">
        <w:r>
          <w:rPr>
            <w:color w:val="127EAD"/>
          </w:rPr>
          <w:t>9</w:t>
        </w:r>
      </w:hyperlink>
      <w:r>
        <w:rPr/>
        <w:t>,</w:t>
      </w:r>
      <w:hyperlink w:history="true" w:anchor="_bookmark82">
        <w:r>
          <w:rPr>
            <w:color w:val="127EAD"/>
          </w:rPr>
          <w:t>68</w:t>
        </w:r>
      </w:hyperlink>
      <w:r>
        <w:rPr/>
        <w:t>].</w:t>
      </w:r>
    </w:p>
    <w:p>
      <w:pPr>
        <w:pStyle w:val="BodyText"/>
        <w:spacing w:line="256" w:lineRule="auto"/>
        <w:ind w:left="106" w:right="114" w:firstLine="179"/>
        <w:jc w:val="both"/>
      </w:pPr>
      <w:r>
        <w:rPr/>
        <w:t>It is important to adopt a personalised approach to exer- cise prescription, especially when commencing and pro- gressing an exercise plan to ensure it remains within an individual’s physical capacity. When in a flare, this may entail achieving the capacity to undertake personal</w:t>
      </w:r>
      <w:r>
        <w:rPr>
          <w:spacing w:val="-30"/>
        </w:rPr>
        <w:t> </w:t>
      </w:r>
      <w:r>
        <w:rPr/>
        <w:t>activities of daily living. A detailed structured exercise prescription considerations according to the frequency, intensity, time, type framework is provided in </w:t>
      </w:r>
      <w:hyperlink w:history="true" w:anchor="_bookmark21">
        <w:r>
          <w:rPr>
            <w:color w:val="127EAD"/>
          </w:rPr>
          <w:t>Figure 4</w:t>
        </w:r>
      </w:hyperlink>
      <w:r>
        <w:rPr/>
        <w:t>. The aim of such programs is to improve POTS symptoms and tolerance to exertion while not significantly worsening fatigue or post- exertional malaise. From a practical viewpoint, the phys- ical</w:t>
      </w:r>
      <w:r>
        <w:rPr>
          <w:spacing w:val="-5"/>
        </w:rPr>
        <w:t> </w:t>
      </w:r>
      <w:r>
        <w:rPr/>
        <w:t>improvement</w:t>
      </w:r>
      <w:r>
        <w:rPr>
          <w:spacing w:val="-4"/>
        </w:rPr>
        <w:t> </w:t>
      </w:r>
      <w:r>
        <w:rPr/>
        <w:t>may</w:t>
      </w:r>
      <w:r>
        <w:rPr>
          <w:spacing w:val="-5"/>
        </w:rPr>
        <w:t> </w:t>
      </w:r>
      <w:r>
        <w:rPr/>
        <w:t>be</w:t>
      </w:r>
      <w:r>
        <w:rPr>
          <w:spacing w:val="-3"/>
        </w:rPr>
        <w:t> </w:t>
      </w:r>
      <w:r>
        <w:rPr/>
        <w:t>slow</w:t>
      </w:r>
      <w:r>
        <w:rPr>
          <w:spacing w:val="-5"/>
        </w:rPr>
        <w:t> </w:t>
      </w:r>
      <w:r>
        <w:rPr/>
        <w:t>and</w:t>
      </w:r>
      <w:r>
        <w:rPr>
          <w:spacing w:val="-4"/>
        </w:rPr>
        <w:t> </w:t>
      </w:r>
      <w:r>
        <w:rPr/>
        <w:t>require</w:t>
      </w:r>
      <w:r>
        <w:rPr>
          <w:spacing w:val="-5"/>
        </w:rPr>
        <w:t> </w:t>
      </w:r>
      <w:r>
        <w:rPr/>
        <w:t>weeks</w:t>
      </w:r>
      <w:r>
        <w:rPr>
          <w:spacing w:val="-4"/>
        </w:rPr>
        <w:t> </w:t>
      </w:r>
      <w:r>
        <w:rPr/>
        <w:t>to</w:t>
      </w:r>
      <w:r>
        <w:rPr>
          <w:spacing w:val="-5"/>
        </w:rPr>
        <w:t> </w:t>
      </w:r>
      <w:r>
        <w:rPr/>
        <w:t>months of exercise training [</w:t>
      </w:r>
      <w:hyperlink w:history="true" w:anchor="_bookmark86">
        <w:r>
          <w:rPr>
            <w:color w:val="127EAD"/>
          </w:rPr>
          <w:t>72</w:t>
        </w:r>
      </w:hyperlink>
      <w:r>
        <w:rPr/>
        <w:t>]. An individualised exercise approach for POTS should prioritise pacing and functional preservation over rigid progression. Graded exercise pro- grams with strict advancement targets may exacerbate symptoms, such as post-exertional malaise, and risk compromising essential daily and social functioning [</w:t>
      </w:r>
      <w:hyperlink w:history="true" w:anchor="_bookmark82">
        <w:r>
          <w:rPr>
            <w:color w:val="127EAD"/>
          </w:rPr>
          <w:t>68</w:t>
        </w:r>
      </w:hyperlink>
      <w:r>
        <w:rPr/>
        <w:t>,</w:t>
      </w:r>
      <w:hyperlink w:history="true" w:anchor="_bookmark87">
        <w:r>
          <w:rPr>
            <w:color w:val="127EAD"/>
          </w:rPr>
          <w:t>73</w:t>
        </w:r>
      </w:hyperlink>
      <w:r>
        <w:rPr/>
        <w:t>]. Instead, a flexible, pacing-based model is recommended: beginning with core activation, proximal stability, and short bouts of light movement, alongside education in energy conservation [</w:t>
      </w:r>
      <w:hyperlink w:history="true" w:anchor="_bookmark82">
        <w:r>
          <w:rPr>
            <w:color w:val="127EAD"/>
          </w:rPr>
          <w:t>68</w:t>
        </w:r>
      </w:hyperlink>
      <w:r>
        <w:rPr/>
        <w:t>,</w:t>
      </w:r>
      <w:hyperlink w:history="true" w:anchor="_bookmark87">
        <w:r>
          <w:rPr>
            <w:color w:val="127EAD"/>
          </w:rPr>
          <w:t>73</w:t>
        </w:r>
      </w:hyperlink>
      <w:r>
        <w:rPr/>
        <w:t>]. This approach gradually reintroduces instrumental activities of daily living before progressing to structured exercise, tailored to the individual’s autonomic capacity and symptom threshold. Such strategies help sup- port physical reconditioning without sacrificing autonomy or triggering symptom flares [</w:t>
      </w:r>
      <w:hyperlink w:history="true" w:anchor="_bookmark82">
        <w:r>
          <w:rPr>
            <w:color w:val="127EAD"/>
          </w:rPr>
          <w:t>68</w:t>
        </w:r>
      </w:hyperlink>
      <w:r>
        <w:rPr/>
        <w:t>,</w:t>
      </w:r>
      <w:hyperlink w:history="true" w:anchor="_bookmark87">
        <w:r>
          <w:rPr>
            <w:color w:val="127EAD"/>
          </w:rPr>
          <w:t>73</w:t>
        </w:r>
      </w:hyperlink>
      <w:r>
        <w:rPr/>
        <w:t>,</w:t>
      </w:r>
      <w:hyperlink w:history="true" w:anchor="_bookmark88">
        <w:r>
          <w:rPr>
            <w:color w:val="127EAD"/>
          </w:rPr>
          <w:t>74</w:t>
        </w:r>
      </w:hyperlink>
      <w:r>
        <w:rPr/>
        <w:t>]. To improve the success of exercise interventions in POTS, additional stra- tegies should be implemented concurrently: ensuring adequate hydration with electrolytes before, during, and after sessions; using compression garments to support venous return; and increasing the legs post-exercise to optimise venous return and facilitate </w:t>
      </w:r>
      <w:r>
        <w:rPr>
          <w:spacing w:val="9"/>
        </w:rPr>
        <w:t> </w:t>
      </w:r>
      <w:r>
        <w:rPr/>
        <w:t>recovery.</w:t>
      </w:r>
    </w:p>
    <w:p>
      <w:pPr>
        <w:pStyle w:val="BodyText"/>
        <w:spacing w:before="10"/>
        <w:rPr>
          <w:sz w:val="19"/>
        </w:rPr>
      </w:pPr>
    </w:p>
    <w:p>
      <w:pPr>
        <w:pStyle w:val="Heading2"/>
      </w:pPr>
      <w:r>
        <w:rPr>
          <w:color w:val="0093D6"/>
        </w:rPr>
        <w:t>Special Considerations for POTS</w:t>
      </w:r>
    </w:p>
    <w:p>
      <w:pPr>
        <w:pStyle w:val="BodyText"/>
        <w:spacing w:line="256" w:lineRule="auto" w:before="39"/>
        <w:ind w:left="106" w:right="114"/>
        <w:jc w:val="both"/>
      </w:pPr>
      <w:r>
        <w:rPr/>
        <w:t>Multisystem comorbidities such as migraine, hypermobile Ehlers–Danlos syndrome and hypermobility spectrum dis- orders, myalgic encephalomyelitis/chronic fatigue syn- drome, fibromyalgia, autoimmune disorders, and mast cell activation syndrome are frequently present in those with POTS, contributing to increased complexities in their</w:t>
      </w:r>
      <w:r>
        <w:rPr>
          <w:spacing w:val="-24"/>
        </w:rPr>
        <w:t> </w:t>
      </w:r>
      <w:r>
        <w:rPr/>
        <w:t>overall management [</w:t>
      </w:r>
      <w:hyperlink w:history="true" w:anchor="_bookmark24">
        <w:r>
          <w:rPr>
            <w:color w:val="127EAD"/>
          </w:rPr>
          <w:t>3</w:t>
        </w:r>
      </w:hyperlink>
      <w:r>
        <w:rPr/>
        <w:t>]. Although the pathophysiological mecha- nisms that underlie these associated chronic conditions    </w:t>
      </w:r>
      <w:r>
        <w:rPr>
          <w:spacing w:val="16"/>
        </w:rPr>
        <w:t> </w:t>
      </w:r>
      <w:r>
        <w:rPr/>
        <w:t>in</w:t>
      </w:r>
    </w:p>
    <w:p>
      <w:pPr>
        <w:spacing w:after="0" w:line="256" w:lineRule="auto"/>
        <w:jc w:val="both"/>
        <w:sectPr>
          <w:type w:val="continuous"/>
          <w:pgSz w:w="11910" w:h="15880"/>
          <w:pgMar w:top="660" w:bottom="280" w:left="780" w:right="840"/>
          <w:cols w:num="2" w:equalWidth="0">
            <w:col w:w="5143" w:space="137"/>
            <w:col w:w="5010"/>
          </w:cols>
        </w:sectPr>
      </w:pPr>
    </w:p>
    <w:p>
      <w:pPr>
        <w:pStyle w:val="BodyText"/>
        <w:rPr>
          <w:sz w:val="20"/>
        </w:rPr>
      </w:pPr>
    </w:p>
    <w:p>
      <w:pPr>
        <w:pStyle w:val="BodyText"/>
        <w:spacing w:before="12"/>
        <w:rPr>
          <w:sz w:val="16"/>
        </w:rPr>
      </w:pPr>
    </w:p>
    <w:p>
      <w:pPr>
        <w:pStyle w:val="BodyText"/>
        <w:ind w:left="111"/>
        <w:rPr>
          <w:sz w:val="20"/>
        </w:rPr>
      </w:pPr>
      <w:r>
        <w:rPr>
          <w:sz w:val="20"/>
        </w:rPr>
        <w:pict>
          <v:group style="width:503.65pt;height:348.3pt;mso-position-horizontal-relative:char;mso-position-vertical-relative:line" coordorigin="0,0" coordsize="10073,6966">
            <v:rect style="position:absolute;left:5;top:0;width:10062;height:214" filled="true" fillcolor="#f5f4ea" stroked="false">
              <v:fill type="solid"/>
            </v:rect>
            <v:rect style="position:absolute;left:5;top:214;width:10062;height:6236" filled="true" fillcolor="#f5f4ea" stroked="false">
              <v:fill type="solid"/>
            </v:rect>
            <v:line style="position:absolute" from="5,6450" to="10067,6450" stroked="true" strokeweight="0pt" strokecolor="#f5f4ea">
              <v:stroke dashstyle="solid"/>
            </v:line>
            <v:shape style="position:absolute;left:5;top:6566;width:2;height:400" coordorigin="5,6566" coordsize="0,400" path="m5,6965l5,6566,5,6965xe" filled="true" fillcolor="#f5f4ea" stroked="false">
              <v:path arrowok="t"/>
              <v:fill type="solid"/>
            </v:shape>
            <v:line style="position:absolute" from="5,6960" to="10067,6960" stroked="true" strokeweight=".497986pt" strokecolor="#f5f4ea">
              <v:stroke dashstyle="solid"/>
            </v:line>
            <v:rect style="position:absolute;left:184;top:6450;width:9704;height:116" filled="true" fillcolor="#f5f4ea" stroked="false">
              <v:fill type="solid"/>
            </v:rect>
            <v:rect style="position:absolute;left:184;top:6566;width:9704;height:219" filled="true" fillcolor="#f5f4ea" stroked="false">
              <v:fill type="solid"/>
            </v:rect>
            <v:rect style="position:absolute;left:9888;top:6450;width:179;height:116" filled="true" fillcolor="#f5f4ea" stroked="false">
              <v:fill type="solid"/>
            </v:rect>
            <v:rect style="position:absolute;left:5;top:6450;width:179;height:116" filled="true" fillcolor="#f5f4ea" stroked="false">
              <v:fill type="solid"/>
            </v:rect>
            <v:rect style="position:absolute;left:184;top:6347;width:9704;height:104" filled="true" fillcolor="#f5f4ea" stroked="false">
              <v:fill type="solid"/>
            </v:rect>
            <v:rect style="position:absolute;left:9888;top:6566;width:179;height:399" filled="true" fillcolor="#f5f4ea" stroked="false">
              <v:fill type="solid"/>
            </v:rect>
            <v:rect style="position:absolute;left:5;top:6566;width:179;height:399" filled="true" fillcolor="#f5f4ea" stroked="false">
              <v:fill type="solid"/>
            </v:rect>
            <v:rect style="position:absolute;left:184;top:6785;width:9704;height:179" filled="true" fillcolor="#f5f4ea" stroked="false">
              <v:fill type="solid"/>
            </v:rect>
            <v:shape style="position:absolute;left:487;top:215;width:9097;height:6056" type="#_x0000_t75" stroked="false">
              <v:imagedata r:id="rId31" o:title=""/>
            </v:shape>
            <v:shape style="position:absolute;left:5;top:0;width:10063;height:6965" type="#_x0000_t202" filled="false" stroked="false">
              <v:textbox inset="0,0,0,0">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4"/>
                      <w:rPr>
                        <w:sz w:val="30"/>
                      </w:rPr>
                    </w:pPr>
                  </w:p>
                  <w:p>
                    <w:pPr>
                      <w:spacing w:line="218" w:lineRule="exact" w:before="0"/>
                      <w:ind w:left="179" w:right="3174" w:firstLine="0"/>
                      <w:jc w:val="left"/>
                      <w:rPr>
                        <w:sz w:val="18"/>
                      </w:rPr>
                    </w:pPr>
                    <w:bookmarkStart w:name="Neurological" w:id="36"/>
                    <w:bookmarkEnd w:id="36"/>
                    <w:r>
                      <w:rPr/>
                    </w:r>
                    <w:bookmarkStart w:name="_bookmark21" w:id="37"/>
                    <w:bookmarkEnd w:id="37"/>
                    <w:r>
                      <w:rPr/>
                    </w:r>
                    <w:r>
                      <w:rPr>
                        <w:b/>
                        <w:color w:val="E53527"/>
                        <w:sz w:val="18"/>
                      </w:rPr>
                      <w:t>Figure 4 </w:t>
                    </w:r>
                    <w:r>
                      <w:rPr>
                        <w:sz w:val="18"/>
                      </w:rPr>
                      <w:t>Considerations for exercise in POTS. Created with BioRender. Abbreviation: POTS, postural orthostatic tachycardia  syndrome.</w:t>
                    </w:r>
                  </w:p>
                </w:txbxContent>
              </v:textbox>
              <w10:wrap type="none"/>
            </v:shape>
          </v:group>
        </w:pict>
      </w:r>
      <w:r>
        <w:rPr>
          <w:sz w:val="20"/>
        </w:rPr>
      </w:r>
    </w:p>
    <w:p>
      <w:pPr>
        <w:pStyle w:val="BodyText"/>
        <w:spacing w:before="9"/>
        <w:rPr>
          <w:sz w:val="17"/>
        </w:rPr>
      </w:pPr>
    </w:p>
    <w:p>
      <w:pPr>
        <w:spacing w:after="0"/>
        <w:rPr>
          <w:sz w:val="17"/>
        </w:rPr>
        <w:sectPr>
          <w:pgSz w:w="11910" w:h="15880"/>
          <w:pgMar w:header="470" w:footer="0" w:top="840" w:bottom="280" w:left="840" w:right="780"/>
        </w:sectPr>
      </w:pPr>
    </w:p>
    <w:p>
      <w:pPr>
        <w:pStyle w:val="BodyText"/>
        <w:spacing w:line="256" w:lineRule="auto" w:before="94"/>
        <w:ind w:left="116" w:right="252"/>
        <w:jc w:val="both"/>
      </w:pPr>
      <w:r>
        <w:rPr/>
        <w:drawing>
          <wp:anchor distT="0" distB="0" distL="0" distR="0" allowOverlap="1" layoutInCell="1" locked="0" behindDoc="0" simplePos="0" relativeHeight="1576">
            <wp:simplePos x="0" y="0"/>
            <wp:positionH relativeFrom="page">
              <wp:posOffset>3792867</wp:posOffset>
            </wp:positionH>
            <wp:positionV relativeFrom="paragraph">
              <wp:posOffset>87338</wp:posOffset>
            </wp:positionV>
            <wp:extent cx="12649" cy="3910990"/>
            <wp:effectExtent l="0" t="0" r="0" b="0"/>
            <wp:wrapNone/>
            <wp:docPr id="17" name="image22.png" descr=""/>
            <wp:cNvGraphicFramePr>
              <a:graphicFrameLocks noChangeAspect="1"/>
            </wp:cNvGraphicFramePr>
            <a:graphic>
              <a:graphicData uri="http://schemas.openxmlformats.org/drawingml/2006/picture">
                <pic:pic>
                  <pic:nvPicPr>
                    <pic:cNvPr id="18" name="image22.png"/>
                    <pic:cNvPicPr/>
                  </pic:nvPicPr>
                  <pic:blipFill>
                    <a:blip r:embed="rId32" cstate="print"/>
                    <a:stretch>
                      <a:fillRect/>
                    </a:stretch>
                  </pic:blipFill>
                  <pic:spPr>
                    <a:xfrm>
                      <a:off x="0" y="0"/>
                      <a:ext cx="12649" cy="3910990"/>
                    </a:xfrm>
                    <a:prstGeom prst="rect">
                      <a:avLst/>
                    </a:prstGeom>
                  </pic:spPr>
                </pic:pic>
              </a:graphicData>
            </a:graphic>
          </wp:anchor>
        </w:drawing>
      </w:r>
      <w:r>
        <w:rPr/>
        <w:t>those with POTS are not fully understood, one must not assume that all patients with these conditions will meet the strict haemodynamic criteria for POTS. Here, we present a summary from the neurological, gastroenterological, psy- chological, paediatric, and primary care perspectives rele- vant to our care of patients with  POTS.</w:t>
      </w:r>
    </w:p>
    <w:p>
      <w:pPr>
        <w:pStyle w:val="BodyText"/>
        <w:spacing w:before="9"/>
        <w:rPr>
          <w:sz w:val="22"/>
        </w:rPr>
      </w:pPr>
    </w:p>
    <w:p>
      <w:pPr>
        <w:pStyle w:val="Heading3"/>
        <w:spacing w:line="211" w:lineRule="exact"/>
        <w:ind w:left="116"/>
      </w:pPr>
      <w:r>
        <w:rPr/>
        <w:t>Neurological</w:t>
      </w:r>
    </w:p>
    <w:p>
      <w:pPr>
        <w:pStyle w:val="BodyText"/>
        <w:spacing w:line="259" w:lineRule="auto"/>
        <w:ind w:left="116" w:right="252"/>
        <w:jc w:val="both"/>
      </w:pPr>
      <w:r>
        <w:rPr/>
        <w:t>Small fibre neuropathy is seen in at least  50%  of  those  with</w:t>
      </w:r>
      <w:r>
        <w:rPr>
          <w:spacing w:val="-11"/>
        </w:rPr>
        <w:t> </w:t>
      </w:r>
      <w:r>
        <w:rPr/>
        <w:t>POTS</w:t>
      </w:r>
      <w:r>
        <w:rPr>
          <w:spacing w:val="-11"/>
        </w:rPr>
        <w:t> </w:t>
      </w:r>
      <w:r>
        <w:rPr/>
        <w:t>with</w:t>
      </w:r>
      <w:r>
        <w:rPr>
          <w:spacing w:val="-11"/>
        </w:rPr>
        <w:t> </w:t>
      </w:r>
      <w:r>
        <w:rPr/>
        <w:t>abnormal</w:t>
      </w:r>
      <w:r>
        <w:rPr>
          <w:spacing w:val="-11"/>
        </w:rPr>
        <w:t> </w:t>
      </w:r>
      <w:r>
        <w:rPr/>
        <w:t>temperature</w:t>
      </w:r>
      <w:r>
        <w:rPr>
          <w:spacing w:val="-11"/>
        </w:rPr>
        <w:t> </w:t>
      </w:r>
      <w:r>
        <w:rPr/>
        <w:t>and</w:t>
      </w:r>
      <w:r>
        <w:rPr>
          <w:spacing w:val="-11"/>
        </w:rPr>
        <w:t> </w:t>
      </w:r>
      <w:r>
        <w:rPr/>
        <w:t>pain</w:t>
      </w:r>
      <w:r>
        <w:rPr>
          <w:spacing w:val="-11"/>
        </w:rPr>
        <w:t> </w:t>
      </w:r>
      <w:r>
        <w:rPr/>
        <w:t>sensation</w:t>
      </w:r>
      <w:r>
        <w:rPr>
          <w:spacing w:val="-11"/>
        </w:rPr>
        <w:t> </w:t>
      </w:r>
      <w:r>
        <w:rPr/>
        <w:t>in the extremities, face, and trunk [</w:t>
      </w:r>
      <w:hyperlink w:history="true" w:anchor="_bookmark89">
        <w:r>
          <w:rPr>
            <w:color w:val="127EAD"/>
          </w:rPr>
          <w:t>75</w:t>
        </w:r>
      </w:hyperlink>
      <w:r>
        <w:rPr/>
        <w:t>,</w:t>
      </w:r>
      <w:hyperlink w:history="true" w:anchor="_bookmark90">
        <w:r>
          <w:rPr>
            <w:color w:val="127EAD"/>
          </w:rPr>
          <w:t>76</w:t>
        </w:r>
      </w:hyperlink>
      <w:r>
        <w:rPr/>
        <w:t>]. Although traditional length-dependent distribution (beginning in the longest nerves</w:t>
      </w:r>
      <w:r>
        <w:rPr>
          <w:spacing w:val="-7"/>
        </w:rPr>
        <w:t> </w:t>
      </w:r>
      <w:r>
        <w:rPr/>
        <w:t>at</w:t>
      </w:r>
      <w:r>
        <w:rPr>
          <w:spacing w:val="-7"/>
        </w:rPr>
        <w:t> </w:t>
      </w:r>
      <w:r>
        <w:rPr/>
        <w:t>their</w:t>
      </w:r>
      <w:r>
        <w:rPr>
          <w:spacing w:val="-6"/>
        </w:rPr>
        <w:t> </w:t>
      </w:r>
      <w:r>
        <w:rPr/>
        <w:t>terminals,</w:t>
      </w:r>
      <w:r>
        <w:rPr>
          <w:spacing w:val="-6"/>
        </w:rPr>
        <w:t> </w:t>
      </w:r>
      <w:r>
        <w:rPr/>
        <w:t>e.g.,</w:t>
      </w:r>
      <w:r>
        <w:rPr>
          <w:spacing w:val="-6"/>
        </w:rPr>
        <w:t> </w:t>
      </w:r>
      <w:r>
        <w:rPr/>
        <w:t>distal</w:t>
      </w:r>
      <w:r>
        <w:rPr>
          <w:spacing w:val="-7"/>
        </w:rPr>
        <w:t> </w:t>
      </w:r>
      <w:r>
        <w:rPr/>
        <w:t>foot)</w:t>
      </w:r>
      <w:r>
        <w:rPr>
          <w:spacing w:val="-6"/>
        </w:rPr>
        <w:t> </w:t>
      </w:r>
      <w:r>
        <w:rPr/>
        <w:t>of</w:t>
      </w:r>
      <w:r>
        <w:rPr>
          <w:spacing w:val="-7"/>
        </w:rPr>
        <w:t> </w:t>
      </w:r>
      <w:r>
        <w:rPr/>
        <w:t>reduced</w:t>
      </w:r>
      <w:r>
        <w:rPr>
          <w:spacing w:val="-6"/>
        </w:rPr>
        <w:t> </w:t>
      </w:r>
      <w:r>
        <w:rPr/>
        <w:t>temper- ature</w:t>
      </w:r>
      <w:r>
        <w:rPr>
          <w:spacing w:val="-25"/>
        </w:rPr>
        <w:t> </w:t>
      </w:r>
      <w:r>
        <w:rPr/>
        <w:t>and</w:t>
      </w:r>
      <w:r>
        <w:rPr>
          <w:spacing w:val="-25"/>
        </w:rPr>
        <w:t> </w:t>
      </w:r>
      <w:r>
        <w:rPr/>
        <w:t>pinprick</w:t>
      </w:r>
      <w:r>
        <w:rPr>
          <w:spacing w:val="-24"/>
        </w:rPr>
        <w:t> </w:t>
      </w:r>
      <w:r>
        <w:rPr/>
        <w:t>sensation</w:t>
      </w:r>
      <w:r>
        <w:rPr>
          <w:spacing w:val="-24"/>
        </w:rPr>
        <w:t> </w:t>
      </w:r>
      <w:r>
        <w:rPr/>
        <w:t>is</w:t>
      </w:r>
      <w:r>
        <w:rPr>
          <w:spacing w:val="-24"/>
        </w:rPr>
        <w:t> </w:t>
      </w:r>
      <w:r>
        <w:rPr/>
        <w:t>common</w:t>
      </w:r>
      <w:r>
        <w:rPr>
          <w:spacing w:val="-25"/>
        </w:rPr>
        <w:t> </w:t>
      </w:r>
      <w:r>
        <w:rPr/>
        <w:t>in</w:t>
      </w:r>
      <w:r>
        <w:rPr>
          <w:spacing w:val="-24"/>
        </w:rPr>
        <w:t> </w:t>
      </w:r>
      <w:r>
        <w:rPr/>
        <w:t>patients</w:t>
      </w:r>
      <w:r>
        <w:rPr>
          <w:spacing w:val="-25"/>
        </w:rPr>
        <w:t> </w:t>
      </w:r>
      <w:r>
        <w:rPr/>
        <w:t>with</w:t>
      </w:r>
      <w:r>
        <w:rPr>
          <w:spacing w:val="-24"/>
        </w:rPr>
        <w:t> </w:t>
      </w:r>
      <w:r>
        <w:rPr/>
        <w:t>POTS and small fibre neuropathy, a patchy sensory disturbance (non–length-dependent)</w:t>
      </w:r>
      <w:r>
        <w:rPr>
          <w:spacing w:val="-22"/>
        </w:rPr>
        <w:t> </w:t>
      </w:r>
      <w:r>
        <w:rPr/>
        <w:t>is</w:t>
      </w:r>
      <w:r>
        <w:rPr>
          <w:spacing w:val="-22"/>
        </w:rPr>
        <w:t> </w:t>
      </w:r>
      <w:r>
        <w:rPr/>
        <w:t>also</w:t>
      </w:r>
      <w:r>
        <w:rPr>
          <w:spacing w:val="-21"/>
        </w:rPr>
        <w:t> </w:t>
      </w:r>
      <w:r>
        <w:rPr/>
        <w:t>seen,</w:t>
      </w:r>
      <w:r>
        <w:rPr>
          <w:spacing w:val="-22"/>
        </w:rPr>
        <w:t> </w:t>
      </w:r>
      <w:r>
        <w:rPr/>
        <w:t>a</w:t>
      </w:r>
      <w:r>
        <w:rPr>
          <w:spacing w:val="-21"/>
        </w:rPr>
        <w:t> </w:t>
      </w:r>
      <w:r>
        <w:rPr/>
        <w:t>pattern</w:t>
      </w:r>
      <w:r>
        <w:rPr>
          <w:spacing w:val="-22"/>
        </w:rPr>
        <w:t> </w:t>
      </w:r>
      <w:r>
        <w:rPr/>
        <w:t>that</w:t>
      </w:r>
      <w:r>
        <w:rPr>
          <w:spacing w:val="-21"/>
        </w:rPr>
        <w:t> </w:t>
      </w:r>
      <w:r>
        <w:rPr/>
        <w:t>is</w:t>
      </w:r>
      <w:r>
        <w:rPr>
          <w:spacing w:val="-22"/>
        </w:rPr>
        <w:t> </w:t>
      </w:r>
      <w:r>
        <w:rPr>
          <w:spacing w:val="-2"/>
        </w:rPr>
        <w:t>common </w:t>
      </w:r>
      <w:r>
        <w:rPr/>
        <w:t>in</w:t>
      </w:r>
      <w:r>
        <w:rPr>
          <w:spacing w:val="-17"/>
        </w:rPr>
        <w:t> </w:t>
      </w:r>
      <w:r>
        <w:rPr/>
        <w:t>autoimmune</w:t>
      </w:r>
      <w:r>
        <w:rPr>
          <w:spacing w:val="-17"/>
        </w:rPr>
        <w:t> </w:t>
      </w:r>
      <w:r>
        <w:rPr/>
        <w:t>disorders,</w:t>
      </w:r>
      <w:r>
        <w:rPr>
          <w:spacing w:val="-17"/>
        </w:rPr>
        <w:t> </w:t>
      </w:r>
      <w:r>
        <w:rPr/>
        <w:t>which</w:t>
      </w:r>
      <w:r>
        <w:rPr>
          <w:spacing w:val="-17"/>
        </w:rPr>
        <w:t> </w:t>
      </w:r>
      <w:r>
        <w:rPr/>
        <w:t>may</w:t>
      </w:r>
      <w:r>
        <w:rPr>
          <w:spacing w:val="-17"/>
        </w:rPr>
        <w:t> </w:t>
      </w:r>
      <w:r>
        <w:rPr/>
        <w:t>be</w:t>
      </w:r>
      <w:r>
        <w:rPr>
          <w:spacing w:val="-17"/>
        </w:rPr>
        <w:t> </w:t>
      </w:r>
      <w:r>
        <w:rPr/>
        <w:t>comorbid</w:t>
      </w:r>
      <w:r>
        <w:rPr>
          <w:spacing w:val="-17"/>
        </w:rPr>
        <w:t> </w:t>
      </w:r>
      <w:r>
        <w:rPr/>
        <w:t>in</w:t>
      </w:r>
      <w:r>
        <w:rPr>
          <w:spacing w:val="-17"/>
        </w:rPr>
        <w:t> </w:t>
      </w:r>
      <w:r>
        <w:rPr/>
        <w:t>a</w:t>
      </w:r>
      <w:r>
        <w:rPr>
          <w:spacing w:val="-17"/>
        </w:rPr>
        <w:t> </w:t>
      </w:r>
      <w:r>
        <w:rPr>
          <w:spacing w:val="-2"/>
        </w:rPr>
        <w:t>subset </w:t>
      </w:r>
      <w:r>
        <w:rPr/>
        <w:t>of patients with POTS [</w:t>
      </w:r>
      <w:hyperlink w:history="true" w:anchor="_bookmark91">
        <w:r>
          <w:rPr>
            <w:color w:val="127EAD"/>
          </w:rPr>
          <w:t>77</w:t>
        </w:r>
      </w:hyperlink>
      <w:r>
        <w:rPr/>
        <w:t>,</w:t>
      </w:r>
      <w:hyperlink w:history="true" w:anchor="_bookmark92">
        <w:r>
          <w:rPr>
            <w:color w:val="127EAD"/>
          </w:rPr>
          <w:t>78</w:t>
        </w:r>
      </w:hyperlink>
      <w:r>
        <w:rPr/>
        <w:t>]. Large fibre neuropathy is un- common</w:t>
      </w:r>
      <w:r>
        <w:rPr>
          <w:spacing w:val="-19"/>
        </w:rPr>
        <w:t> </w:t>
      </w:r>
      <w:r>
        <w:rPr/>
        <w:t>in</w:t>
      </w:r>
      <w:r>
        <w:rPr>
          <w:spacing w:val="-18"/>
        </w:rPr>
        <w:t> </w:t>
      </w:r>
      <w:r>
        <w:rPr/>
        <w:t>patients</w:t>
      </w:r>
      <w:r>
        <w:rPr>
          <w:spacing w:val="-17"/>
        </w:rPr>
        <w:t> </w:t>
      </w:r>
      <w:r>
        <w:rPr/>
        <w:t>with</w:t>
      </w:r>
      <w:r>
        <w:rPr>
          <w:spacing w:val="-18"/>
        </w:rPr>
        <w:t> </w:t>
      </w:r>
      <w:r>
        <w:rPr/>
        <w:t>POTS</w:t>
      </w:r>
      <w:r>
        <w:rPr>
          <w:spacing w:val="-17"/>
        </w:rPr>
        <w:t> </w:t>
      </w:r>
      <w:r>
        <w:rPr/>
        <w:t>but</w:t>
      </w:r>
      <w:r>
        <w:rPr>
          <w:spacing w:val="-17"/>
        </w:rPr>
        <w:t> </w:t>
      </w:r>
      <w:r>
        <w:rPr/>
        <w:t>may</w:t>
      </w:r>
      <w:r>
        <w:rPr>
          <w:spacing w:val="-18"/>
        </w:rPr>
        <w:t> </w:t>
      </w:r>
      <w:r>
        <w:rPr/>
        <w:t>be</w:t>
      </w:r>
      <w:r>
        <w:rPr>
          <w:spacing w:val="-18"/>
        </w:rPr>
        <w:t> </w:t>
      </w:r>
      <w:r>
        <w:rPr/>
        <w:t>present</w:t>
      </w:r>
      <w:r>
        <w:rPr>
          <w:spacing w:val="-19"/>
        </w:rPr>
        <w:t> </w:t>
      </w:r>
      <w:r>
        <w:rPr/>
        <w:t>if</w:t>
      </w:r>
      <w:r>
        <w:rPr>
          <w:spacing w:val="-17"/>
        </w:rPr>
        <w:t> </w:t>
      </w:r>
      <w:r>
        <w:rPr/>
        <w:t>there</w:t>
      </w:r>
      <w:r>
        <w:rPr>
          <w:spacing w:val="-17"/>
        </w:rPr>
        <w:t> </w:t>
      </w:r>
      <w:r>
        <w:rPr>
          <w:spacing w:val="-2"/>
        </w:rPr>
        <w:t>are </w:t>
      </w:r>
      <w:r>
        <w:rPr/>
        <w:t>concurrent glucose intolerance, diabetes, vitamin</w:t>
      </w:r>
      <w:r>
        <w:rPr>
          <w:spacing w:val="-27"/>
        </w:rPr>
        <w:t> </w:t>
      </w:r>
      <w:r>
        <w:rPr/>
        <w:t>deficiency, or autoimmune disorders [</w:t>
      </w:r>
      <w:hyperlink w:history="true" w:anchor="_bookmark93">
        <w:r>
          <w:rPr>
            <w:color w:val="127EAD"/>
          </w:rPr>
          <w:t>79</w:t>
        </w:r>
      </w:hyperlink>
      <w:r>
        <w:rPr/>
        <w:t>]. Additional neurologic</w:t>
      </w:r>
      <w:r>
        <w:rPr>
          <w:spacing w:val="-31"/>
        </w:rPr>
        <w:t> </w:t>
      </w:r>
      <w:r>
        <w:rPr/>
        <w:t>abnor- malities</w:t>
      </w:r>
      <w:r>
        <w:rPr>
          <w:spacing w:val="-6"/>
        </w:rPr>
        <w:t> </w:t>
      </w:r>
      <w:r>
        <w:rPr/>
        <w:t>in</w:t>
      </w:r>
      <w:r>
        <w:rPr>
          <w:spacing w:val="-5"/>
        </w:rPr>
        <w:t> </w:t>
      </w:r>
      <w:r>
        <w:rPr/>
        <w:t>those</w:t>
      </w:r>
      <w:r>
        <w:rPr>
          <w:spacing w:val="-5"/>
        </w:rPr>
        <w:t> </w:t>
      </w:r>
      <w:r>
        <w:rPr/>
        <w:t>with</w:t>
      </w:r>
      <w:r>
        <w:rPr>
          <w:spacing w:val="-4"/>
        </w:rPr>
        <w:t> </w:t>
      </w:r>
      <w:r>
        <w:rPr/>
        <w:t>POTS</w:t>
      </w:r>
      <w:r>
        <w:rPr>
          <w:spacing w:val="-4"/>
        </w:rPr>
        <w:t> </w:t>
      </w:r>
      <w:r>
        <w:rPr/>
        <w:t>may</w:t>
      </w:r>
      <w:r>
        <w:rPr>
          <w:spacing w:val="-5"/>
        </w:rPr>
        <w:t> </w:t>
      </w:r>
      <w:r>
        <w:rPr/>
        <w:t>include</w:t>
      </w:r>
      <w:r>
        <w:rPr>
          <w:spacing w:val="-5"/>
        </w:rPr>
        <w:t> </w:t>
      </w:r>
      <w:r>
        <w:rPr/>
        <w:t>dilated</w:t>
      </w:r>
      <w:r>
        <w:rPr>
          <w:spacing w:val="-5"/>
        </w:rPr>
        <w:t> </w:t>
      </w:r>
      <w:r>
        <w:rPr/>
        <w:t>pupils</w:t>
      </w:r>
      <w:r>
        <w:rPr>
          <w:spacing w:val="-5"/>
        </w:rPr>
        <w:t> </w:t>
      </w:r>
      <w:r>
        <w:rPr/>
        <w:t>with poor pupillary response to light, reduced temperature </w:t>
      </w:r>
      <w:r>
        <w:rPr>
          <w:spacing w:val="-2"/>
        </w:rPr>
        <w:t>and </w:t>
      </w:r>
      <w:r>
        <w:rPr/>
        <w:t>pinprick sensations in the feet and hands if small fibre neu- ropathy</w:t>
      </w:r>
      <w:r>
        <w:rPr>
          <w:spacing w:val="-9"/>
        </w:rPr>
        <w:t> </w:t>
      </w:r>
      <w:r>
        <w:rPr/>
        <w:t>is</w:t>
      </w:r>
      <w:r>
        <w:rPr>
          <w:spacing w:val="-7"/>
        </w:rPr>
        <w:t> </w:t>
      </w:r>
      <w:r>
        <w:rPr/>
        <w:t>present,</w:t>
      </w:r>
      <w:r>
        <w:rPr>
          <w:spacing w:val="-8"/>
        </w:rPr>
        <w:t> </w:t>
      </w:r>
      <w:r>
        <w:rPr/>
        <w:t>and</w:t>
      </w:r>
      <w:r>
        <w:rPr>
          <w:spacing w:val="-8"/>
        </w:rPr>
        <w:t> </w:t>
      </w:r>
      <w:r>
        <w:rPr/>
        <w:t>peripheral</w:t>
      </w:r>
      <w:r>
        <w:rPr>
          <w:spacing w:val="-7"/>
        </w:rPr>
        <w:t> </w:t>
      </w:r>
      <w:r>
        <w:rPr/>
        <w:t>acrocyanosis</w:t>
      </w:r>
      <w:r>
        <w:rPr>
          <w:spacing w:val="-8"/>
        </w:rPr>
        <w:t> </w:t>
      </w:r>
      <w:r>
        <w:rPr/>
        <w:t>due</w:t>
      </w:r>
      <w:r>
        <w:rPr>
          <w:spacing w:val="-8"/>
        </w:rPr>
        <w:t> </w:t>
      </w:r>
      <w:r>
        <w:rPr/>
        <w:t>to</w:t>
      </w:r>
      <w:r>
        <w:rPr>
          <w:spacing w:val="-8"/>
        </w:rPr>
        <w:t> </w:t>
      </w:r>
      <w:r>
        <w:rPr/>
        <w:t>blood pooling</w:t>
      </w:r>
      <w:r>
        <w:rPr>
          <w:spacing w:val="-17"/>
        </w:rPr>
        <w:t> </w:t>
      </w:r>
      <w:r>
        <w:rPr/>
        <w:t>and</w:t>
      </w:r>
      <w:r>
        <w:rPr>
          <w:spacing w:val="-17"/>
        </w:rPr>
        <w:t> </w:t>
      </w:r>
      <w:r>
        <w:rPr/>
        <w:t>vasomotor</w:t>
      </w:r>
      <w:r>
        <w:rPr>
          <w:spacing w:val="-17"/>
        </w:rPr>
        <w:t> </w:t>
      </w:r>
      <w:r>
        <w:rPr>
          <w:spacing w:val="-2"/>
        </w:rPr>
        <w:t>dysfunction.</w:t>
      </w:r>
    </w:p>
    <w:p>
      <w:pPr>
        <w:pStyle w:val="BodyText"/>
        <w:spacing w:line="261" w:lineRule="auto" w:before="94"/>
        <w:ind w:left="116" w:right="104" w:firstLine="180"/>
        <w:jc w:val="both"/>
      </w:pPr>
      <w:r>
        <w:rPr/>
        <w:br w:type="column"/>
      </w:r>
      <w:r>
        <w:rPr/>
        <w:t>If parkinsonism or cerebellar signs are present in a</w:t>
      </w:r>
      <w:r>
        <w:rPr>
          <w:spacing w:val="-19"/>
        </w:rPr>
        <w:t> </w:t>
      </w:r>
      <w:r>
        <w:rPr/>
        <w:t>patient with orthostatic intolerance, one must entertain the possi- bility of Parkinson’s disease–associated orthostatic hypo- tension and several system atrophy. Originally, POTS was described as a limited or restricted form of autonomic neuropathy [</w:t>
      </w:r>
      <w:hyperlink w:history="true" w:anchor="_bookmark22">
        <w:r>
          <w:rPr>
            <w:color w:val="127EAD"/>
          </w:rPr>
          <w:t>1</w:t>
        </w:r>
      </w:hyperlink>
      <w:r>
        <w:rPr/>
        <w:t>]. The potential immune-mediated aetiology can be glimpsed from the low-level titres of acetylcholine ganglionic receptor antibodies and other antibodies found in a subset of individuals with POTS [</w:t>
      </w:r>
      <w:hyperlink w:history="true" w:anchor="_bookmark94">
        <w:r>
          <w:rPr>
            <w:color w:val="127EAD"/>
          </w:rPr>
          <w:t>80</w:t>
        </w:r>
      </w:hyperlink>
      <w:r>
        <w:rPr/>
        <w:t>,</w:t>
      </w:r>
      <w:hyperlink w:history="true" w:anchor="_bookmark95">
        <w:r>
          <w:rPr>
            <w:color w:val="127EAD"/>
          </w:rPr>
          <w:t>81</w:t>
        </w:r>
      </w:hyperlink>
      <w:r>
        <w:rPr/>
        <w:t>]. However, this is distinct from those with autoimmune autonomic gan- glionopathy, a rare autonomic disorder that presents with orthostatic hypotension and not POTS, and typically occurs in middle-aged individuals with a high titre of</w:t>
      </w:r>
      <w:r>
        <w:rPr>
          <w:spacing w:val="-14"/>
        </w:rPr>
        <w:t> </w:t>
      </w:r>
      <w:r>
        <w:rPr/>
        <w:t>acetylcholine ganglionic receptor antibodies</w:t>
      </w:r>
      <w:r>
        <w:rPr>
          <w:spacing w:val="30"/>
        </w:rPr>
        <w:t> </w:t>
      </w:r>
      <w:r>
        <w:rPr/>
        <w:t>[</w:t>
      </w:r>
      <w:hyperlink w:history="true" w:anchor="_bookmark96">
        <w:r>
          <w:rPr>
            <w:color w:val="127EAD"/>
          </w:rPr>
          <w:t>82</w:t>
        </w:r>
      </w:hyperlink>
      <w:r>
        <w:rPr/>
        <w:t>,</w:t>
      </w:r>
      <w:hyperlink w:history="true" w:anchor="_bookmark97">
        <w:r>
          <w:rPr>
            <w:color w:val="127EAD"/>
          </w:rPr>
          <w:t>83</w:t>
        </w:r>
      </w:hyperlink>
      <w:r>
        <w:rPr/>
        <w:t>].</w:t>
      </w:r>
    </w:p>
    <w:p>
      <w:pPr>
        <w:pStyle w:val="BodyText"/>
        <w:spacing w:line="256" w:lineRule="auto"/>
        <w:ind w:left="116" w:right="104" w:firstLine="180"/>
        <w:jc w:val="both"/>
      </w:pPr>
      <w:r>
        <w:rPr/>
        <w:t>A</w:t>
      </w:r>
      <w:r>
        <w:rPr>
          <w:spacing w:val="-20"/>
        </w:rPr>
        <w:t> </w:t>
      </w:r>
      <w:r>
        <w:rPr/>
        <w:t>common</w:t>
      </w:r>
      <w:r>
        <w:rPr>
          <w:spacing w:val="-19"/>
        </w:rPr>
        <w:t> </w:t>
      </w:r>
      <w:r>
        <w:rPr/>
        <w:t>misconception</w:t>
      </w:r>
      <w:r>
        <w:rPr>
          <w:spacing w:val="-19"/>
        </w:rPr>
        <w:t> </w:t>
      </w:r>
      <w:r>
        <w:rPr/>
        <w:t>that</w:t>
      </w:r>
      <w:r>
        <w:rPr>
          <w:spacing w:val="-20"/>
        </w:rPr>
        <w:t> </w:t>
      </w:r>
      <w:r>
        <w:rPr/>
        <w:t>exists</w:t>
      </w:r>
      <w:r>
        <w:rPr>
          <w:spacing w:val="-19"/>
        </w:rPr>
        <w:t> </w:t>
      </w:r>
      <w:r>
        <w:rPr/>
        <w:t>among</w:t>
      </w:r>
      <w:r>
        <w:rPr>
          <w:spacing w:val="-20"/>
        </w:rPr>
        <w:t> </w:t>
      </w:r>
      <w:r>
        <w:rPr/>
        <w:t>neurologists</w:t>
      </w:r>
      <w:r>
        <w:rPr>
          <w:spacing w:val="-19"/>
        </w:rPr>
        <w:t> </w:t>
      </w:r>
      <w:r>
        <w:rPr/>
        <w:t>is that POTS may be associated with or based in functional neurological disorders (FNDs). It is important to emphasise that POTS and other common autonomic disorders are not FNDs and not caused by a functional aetiology [</w:t>
      </w:r>
      <w:hyperlink w:history="true" w:anchor="_bookmark98">
        <w:r>
          <w:rPr>
            <w:color w:val="127EAD"/>
          </w:rPr>
          <w:t>84–86</w:t>
        </w:r>
      </w:hyperlink>
      <w:r>
        <w:rPr/>
        <w:t>]. Although some patients may demonstrate “psychogenic syncope” or dissociative attacks overlapping with POTS, these attacks likely reflect a combination of factors</w:t>
      </w:r>
      <w:r>
        <w:rPr>
          <w:spacing w:val="-29"/>
        </w:rPr>
        <w:t> </w:t>
      </w:r>
      <w:r>
        <w:rPr/>
        <w:t>including reduced cerebral blood flow, superimposed psychological distress, possible poor coping mechanisms, and other bio- psychosocial</w:t>
      </w:r>
      <w:r>
        <w:rPr>
          <w:spacing w:val="-13"/>
        </w:rPr>
        <w:t> </w:t>
      </w:r>
      <w:r>
        <w:rPr/>
        <w:t>factors</w:t>
      </w:r>
      <w:r>
        <w:rPr>
          <w:spacing w:val="-14"/>
        </w:rPr>
        <w:t> </w:t>
      </w:r>
      <w:r>
        <w:rPr/>
        <w:t>that</w:t>
      </w:r>
      <w:r>
        <w:rPr>
          <w:spacing w:val="-14"/>
        </w:rPr>
        <w:t> </w:t>
      </w:r>
      <w:r>
        <w:rPr/>
        <w:t>can</w:t>
      </w:r>
      <w:r>
        <w:rPr>
          <w:spacing w:val="-14"/>
        </w:rPr>
        <w:t> </w:t>
      </w:r>
      <w:r>
        <w:rPr/>
        <w:t>be</w:t>
      </w:r>
      <w:r>
        <w:rPr>
          <w:spacing w:val="-13"/>
        </w:rPr>
        <w:t> </w:t>
      </w:r>
      <w:r>
        <w:rPr/>
        <w:t>associated</w:t>
      </w:r>
      <w:r>
        <w:rPr>
          <w:spacing w:val="-14"/>
        </w:rPr>
        <w:t> </w:t>
      </w:r>
      <w:r>
        <w:rPr/>
        <w:t>with</w:t>
      </w:r>
      <w:r>
        <w:rPr>
          <w:spacing w:val="-13"/>
        </w:rPr>
        <w:t> </w:t>
      </w:r>
      <w:r>
        <w:rPr/>
        <w:t>a</w:t>
      </w:r>
      <w:r>
        <w:rPr>
          <w:spacing w:val="-14"/>
        </w:rPr>
        <w:t> </w:t>
      </w:r>
      <w:r>
        <w:rPr/>
        <w:t>chronic</w:t>
      </w:r>
      <w:r>
        <w:rPr>
          <w:spacing w:val="-14"/>
        </w:rPr>
        <w:t> </w:t>
      </w:r>
      <w:r>
        <w:rPr/>
        <w:t>and debilitating  medical  condition.   Objective </w:t>
      </w:r>
      <w:r>
        <w:rPr>
          <w:spacing w:val="41"/>
        </w:rPr>
        <w:t> </w:t>
      </w:r>
      <w:r>
        <w:rPr/>
        <w:t>haemodynamic</w:t>
      </w:r>
    </w:p>
    <w:p>
      <w:pPr>
        <w:spacing w:after="0" w:line="256" w:lineRule="auto"/>
        <w:jc w:val="both"/>
        <w:sectPr>
          <w:type w:val="continuous"/>
          <w:pgSz w:w="11910" w:h="15880"/>
          <w:pgMar w:top="660" w:bottom="280" w:left="840" w:right="780"/>
          <w:cols w:num="2" w:equalWidth="0">
            <w:col w:w="5153" w:space="126"/>
            <w:col w:w="5011"/>
          </w:cols>
        </w:sectPr>
      </w:pPr>
    </w:p>
    <w:p>
      <w:pPr>
        <w:pStyle w:val="BodyText"/>
        <w:spacing w:before="8"/>
        <w:rPr>
          <w:sz w:val="25"/>
        </w:rPr>
      </w:pPr>
    </w:p>
    <w:p>
      <w:pPr>
        <w:spacing w:after="0"/>
        <w:rPr>
          <w:sz w:val="25"/>
        </w:rPr>
        <w:sectPr>
          <w:pgSz w:w="11910" w:h="15880"/>
          <w:pgMar w:header="471" w:footer="0" w:top="840" w:bottom="280" w:left="780" w:right="840"/>
        </w:sectPr>
      </w:pPr>
    </w:p>
    <w:p>
      <w:pPr>
        <w:pStyle w:val="BodyText"/>
        <w:spacing w:line="256" w:lineRule="auto" w:before="93"/>
        <w:ind w:left="106" w:right="252"/>
        <w:jc w:val="both"/>
      </w:pPr>
      <w:r>
        <w:rPr/>
        <w:drawing>
          <wp:anchor distT="0" distB="0" distL="0" distR="0" allowOverlap="1" layoutInCell="1" locked="0" behindDoc="0" simplePos="0" relativeHeight="1600">
            <wp:simplePos x="0" y="0"/>
            <wp:positionH relativeFrom="page">
              <wp:posOffset>3748455</wp:posOffset>
            </wp:positionH>
            <wp:positionV relativeFrom="paragraph">
              <wp:posOffset>88671</wp:posOffset>
            </wp:positionV>
            <wp:extent cx="12649" cy="8360863"/>
            <wp:effectExtent l="0" t="0" r="0" b="0"/>
            <wp:wrapNone/>
            <wp:docPr id="19" name="image23.png" descr=""/>
            <wp:cNvGraphicFramePr>
              <a:graphicFrameLocks noChangeAspect="1"/>
            </wp:cNvGraphicFramePr>
            <a:graphic>
              <a:graphicData uri="http://schemas.openxmlformats.org/drawingml/2006/picture">
                <pic:pic>
                  <pic:nvPicPr>
                    <pic:cNvPr id="20" name="image23.png"/>
                    <pic:cNvPicPr/>
                  </pic:nvPicPr>
                  <pic:blipFill>
                    <a:blip r:embed="rId33" cstate="print"/>
                    <a:stretch>
                      <a:fillRect/>
                    </a:stretch>
                  </pic:blipFill>
                  <pic:spPr>
                    <a:xfrm>
                      <a:off x="0" y="0"/>
                      <a:ext cx="12649" cy="8360863"/>
                    </a:xfrm>
                    <a:prstGeom prst="rect">
                      <a:avLst/>
                    </a:prstGeom>
                  </pic:spPr>
                </pic:pic>
              </a:graphicData>
            </a:graphic>
          </wp:anchor>
        </w:drawing>
      </w:r>
      <w:bookmarkStart w:name="Gastroenterological" w:id="38"/>
      <w:bookmarkEnd w:id="38"/>
      <w:r>
        <w:rPr/>
      </w:r>
      <w:bookmarkStart w:name="Psychological" w:id="39"/>
      <w:bookmarkEnd w:id="39"/>
      <w:r>
        <w:rPr/>
      </w:r>
      <w:bookmarkStart w:name="POTS in the Paediatric Population" w:id="40"/>
      <w:bookmarkEnd w:id="40"/>
      <w:r>
        <w:rPr/>
      </w:r>
      <w:r>
        <w:rPr/>
        <w:t>diagnostic criteria for common autonomic disorders have been established, including orthostatic intolerance with presence of heart rate, blood, and cerebral perfusion abnor- malities, whereas none of these features are present in the diagnostic criteria of FND [</w:t>
      </w:r>
      <w:hyperlink w:history="true" w:anchor="_bookmark23">
        <w:r>
          <w:rPr>
            <w:color w:val="127EAD"/>
          </w:rPr>
          <w:t>2</w:t>
        </w:r>
      </w:hyperlink>
      <w:r>
        <w:rPr/>
        <w:t>,</w:t>
      </w:r>
      <w:hyperlink w:history="true" w:anchor="_bookmark99">
        <w:r>
          <w:rPr>
            <w:color w:val="127EAD"/>
          </w:rPr>
          <w:t>86</w:t>
        </w:r>
      </w:hyperlink>
      <w:r>
        <w:rPr/>
        <w:t>,</w:t>
      </w:r>
      <w:hyperlink w:history="true" w:anchor="_bookmark100">
        <w:r>
          <w:rPr>
            <w:color w:val="127EAD"/>
          </w:rPr>
          <w:t>87</w:t>
        </w:r>
      </w:hyperlink>
      <w:r>
        <w:rPr/>
        <w:t>]. Rarely, POTS and FND may</w:t>
      </w:r>
      <w:r>
        <w:rPr>
          <w:spacing w:val="-12"/>
        </w:rPr>
        <w:t> </w:t>
      </w:r>
      <w:r>
        <w:rPr/>
        <w:t>coexist,</w:t>
      </w:r>
      <w:r>
        <w:rPr>
          <w:spacing w:val="-11"/>
        </w:rPr>
        <w:t> </w:t>
      </w:r>
      <w:r>
        <w:rPr/>
        <w:t>and,</w:t>
      </w:r>
      <w:r>
        <w:rPr>
          <w:spacing w:val="-12"/>
        </w:rPr>
        <w:t> </w:t>
      </w:r>
      <w:r>
        <w:rPr/>
        <w:t>in</w:t>
      </w:r>
      <w:r>
        <w:rPr>
          <w:spacing w:val="-11"/>
        </w:rPr>
        <w:t> </w:t>
      </w:r>
      <w:r>
        <w:rPr/>
        <w:t>these</w:t>
      </w:r>
      <w:r>
        <w:rPr>
          <w:spacing w:val="-11"/>
        </w:rPr>
        <w:t> </w:t>
      </w:r>
      <w:r>
        <w:rPr/>
        <w:t>patients,</w:t>
      </w:r>
      <w:r>
        <w:rPr>
          <w:spacing w:val="-12"/>
        </w:rPr>
        <w:t> </w:t>
      </w:r>
      <w:r>
        <w:rPr/>
        <w:t>treatment</w:t>
      </w:r>
      <w:r>
        <w:rPr>
          <w:spacing w:val="-11"/>
        </w:rPr>
        <w:t> </w:t>
      </w:r>
      <w:r>
        <w:rPr/>
        <w:t>of</w:t>
      </w:r>
      <w:r>
        <w:rPr>
          <w:spacing w:val="-12"/>
        </w:rPr>
        <w:t> </w:t>
      </w:r>
      <w:r>
        <w:rPr/>
        <w:t>POTS</w:t>
      </w:r>
      <w:r>
        <w:rPr>
          <w:spacing w:val="-11"/>
        </w:rPr>
        <w:t> </w:t>
      </w:r>
      <w:r>
        <w:rPr/>
        <w:t>should be initiated first before a referral to FND-tailored physical therapy</w:t>
      </w:r>
      <w:r>
        <w:rPr>
          <w:spacing w:val="-6"/>
        </w:rPr>
        <w:t> </w:t>
      </w:r>
      <w:r>
        <w:rPr/>
        <w:t>[</w:t>
      </w:r>
      <w:hyperlink w:history="true" w:anchor="_bookmark98">
        <w:r>
          <w:rPr>
            <w:color w:val="127EAD"/>
          </w:rPr>
          <w:t>84</w:t>
        </w:r>
      </w:hyperlink>
      <w:r>
        <w:rPr/>
        <w:t>,</w:t>
      </w:r>
      <w:hyperlink w:history="true" w:anchor="_bookmark101">
        <w:r>
          <w:rPr>
            <w:color w:val="127EAD"/>
          </w:rPr>
          <w:t>88</w:t>
        </w:r>
      </w:hyperlink>
      <w:r>
        <w:rPr/>
        <w:t>].</w:t>
      </w:r>
    </w:p>
    <w:p>
      <w:pPr>
        <w:pStyle w:val="Heading3"/>
        <w:spacing w:before="162"/>
      </w:pPr>
      <w:r>
        <w:rPr/>
        <w:t>Gastroenterological</w:t>
      </w:r>
    </w:p>
    <w:p>
      <w:pPr>
        <w:pStyle w:val="BodyText"/>
        <w:spacing w:line="256" w:lineRule="auto"/>
        <w:ind w:left="106" w:right="252"/>
        <w:jc w:val="both"/>
      </w:pPr>
      <w:r>
        <w:rPr/>
        <w:t>Gastrointestinal</w:t>
      </w:r>
      <w:r>
        <w:rPr>
          <w:spacing w:val="-6"/>
        </w:rPr>
        <w:t> </w:t>
      </w:r>
      <w:r>
        <w:rPr/>
        <w:t>symptoms</w:t>
      </w:r>
      <w:r>
        <w:rPr>
          <w:spacing w:val="-6"/>
        </w:rPr>
        <w:t> </w:t>
      </w:r>
      <w:r>
        <w:rPr/>
        <w:t>are</w:t>
      </w:r>
      <w:r>
        <w:rPr>
          <w:spacing w:val="-6"/>
        </w:rPr>
        <w:t> </w:t>
      </w:r>
      <w:r>
        <w:rPr/>
        <w:t>common</w:t>
      </w:r>
      <w:r>
        <w:rPr>
          <w:spacing w:val="-6"/>
        </w:rPr>
        <w:t> </w:t>
      </w:r>
      <w:r>
        <w:rPr/>
        <w:t>in</w:t>
      </w:r>
      <w:r>
        <w:rPr>
          <w:spacing w:val="-5"/>
        </w:rPr>
        <w:t> </w:t>
      </w:r>
      <w:r>
        <w:rPr/>
        <w:t>POTS</w:t>
      </w:r>
      <w:r>
        <w:rPr>
          <w:spacing w:val="-6"/>
        </w:rPr>
        <w:t> </w:t>
      </w:r>
      <w:r>
        <w:rPr/>
        <w:t>population and challenging to manage given lack of understanding of contributing aetiological factors. The enteric nervous</w:t>
      </w:r>
      <w:r>
        <w:rPr>
          <w:spacing w:val="-14"/>
        </w:rPr>
        <w:t> </w:t>
      </w:r>
      <w:r>
        <w:rPr/>
        <w:t>system is composed of a vast number of neurons, with the myen- teric plexus mainly regulating peristalsis and the submu- cosal plexus controlling secretomotor functions and local blood flow. Additionally, endocrine hormones such as gastrin, cholecystokinin, secretin, GLP-1, and motilin facili- tate contraction patterns, gastric emptying, and sphincter control. Dysregulation of the neuroimmune axis—a dy- namic communication network that coordinates</w:t>
      </w:r>
      <w:r>
        <w:rPr>
          <w:spacing w:val="-18"/>
        </w:rPr>
        <w:t> </w:t>
      </w:r>
      <w:r>
        <w:rPr/>
        <w:t>interactions between the nervous, immune, and endocrine systems—or its interactions with the microbiota or extracellular matrix may underlie the gastrointestinal problems of dysmotility and pain in those with POTS [</w:t>
      </w:r>
      <w:hyperlink w:history="true" w:anchor="_bookmark102">
        <w:r>
          <w:rPr>
            <w:color w:val="127EAD"/>
          </w:rPr>
          <w:t>89</w:t>
        </w:r>
      </w:hyperlink>
      <w:r>
        <w:rPr/>
        <w:t>]. Other potential mecha- nisms include macrophage dysregulation, mast cell degranulation, and mechanical barrier disruption [</w:t>
      </w:r>
      <w:hyperlink w:history="true" w:anchor="_bookmark103">
        <w:r>
          <w:rPr>
            <w:color w:val="127EAD"/>
          </w:rPr>
          <w:t>90</w:t>
        </w:r>
      </w:hyperlink>
      <w:r>
        <w:rPr/>
        <w:t>,</w:t>
      </w:r>
      <w:hyperlink w:history="true" w:anchor="_bookmark104">
        <w:r>
          <w:rPr>
            <w:color w:val="127EAD"/>
          </w:rPr>
          <w:t>91</w:t>
        </w:r>
      </w:hyperlink>
      <w:r>
        <w:rPr/>
        <w:t>]. Neuroimmune</w:t>
      </w:r>
      <w:r>
        <w:rPr>
          <w:spacing w:val="-7"/>
        </w:rPr>
        <w:t> </w:t>
      </w:r>
      <w:r>
        <w:rPr/>
        <w:t>axis</w:t>
      </w:r>
      <w:r>
        <w:rPr>
          <w:spacing w:val="-6"/>
        </w:rPr>
        <w:t> </w:t>
      </w:r>
      <w:r>
        <w:rPr/>
        <w:t>dysregulation</w:t>
      </w:r>
      <w:r>
        <w:rPr>
          <w:spacing w:val="-7"/>
        </w:rPr>
        <w:t> </w:t>
      </w:r>
      <w:r>
        <w:rPr/>
        <w:t>can</w:t>
      </w:r>
      <w:r>
        <w:rPr>
          <w:spacing w:val="-7"/>
        </w:rPr>
        <w:t> </w:t>
      </w:r>
      <w:r>
        <w:rPr/>
        <w:t>slow</w:t>
      </w:r>
      <w:r>
        <w:rPr>
          <w:spacing w:val="-7"/>
        </w:rPr>
        <w:t> </w:t>
      </w:r>
      <w:r>
        <w:rPr/>
        <w:t>or</w:t>
      </w:r>
      <w:r>
        <w:rPr>
          <w:spacing w:val="-6"/>
        </w:rPr>
        <w:t> </w:t>
      </w:r>
      <w:r>
        <w:rPr/>
        <w:t>result</w:t>
      </w:r>
      <w:r>
        <w:rPr>
          <w:spacing w:val="-7"/>
        </w:rPr>
        <w:t> </w:t>
      </w:r>
      <w:r>
        <w:rPr/>
        <w:t>in</w:t>
      </w:r>
      <w:r>
        <w:rPr>
          <w:spacing w:val="-7"/>
        </w:rPr>
        <w:t> </w:t>
      </w:r>
      <w:r>
        <w:rPr/>
        <w:t>rapid gastrointestinal transit, provoke nausea or vomiting, and diminish nutrient absorption [</w:t>
      </w:r>
      <w:hyperlink w:history="true" w:anchor="_bookmark105">
        <w:r>
          <w:rPr>
            <w:color w:val="127EAD"/>
          </w:rPr>
          <w:t>92</w:t>
        </w:r>
      </w:hyperlink>
      <w:r>
        <w:rPr/>
        <w:t>]. In a very small propor- tion of patients with POTS, especially those with comorbid hypermobile Ehlers–Danlos syndrome or mast cell activa- tion syndrome, enteral feeding may be required, and, sometimes, this is better tolerated with more distal admin- istration into the jejunum. On these occasions, efforts can be made to increase fluid intake via the enteral feeding tube. Rarely, complete enteral intolerance may occur, where even minimal enteral administration of drugs or feeds can cause severe symptoms, culminating in intestinal failure. At this stage, parenteral nutrition may be required together with supplemental intravenous fluids</w:t>
      </w:r>
      <w:r>
        <w:rPr>
          <w:spacing w:val="26"/>
        </w:rPr>
        <w:t> </w:t>
      </w:r>
      <w:r>
        <w:rPr/>
        <w:t>[</w:t>
      </w:r>
      <w:hyperlink w:history="true" w:anchor="_bookmark106">
        <w:r>
          <w:rPr>
            <w:color w:val="127EAD"/>
          </w:rPr>
          <w:t>93</w:t>
        </w:r>
      </w:hyperlink>
      <w:r>
        <w:rPr/>
        <w:t>].</w:t>
      </w:r>
    </w:p>
    <w:p>
      <w:pPr>
        <w:pStyle w:val="BodyText"/>
        <w:spacing w:line="256" w:lineRule="auto"/>
        <w:ind w:left="106" w:right="252" w:firstLine="179"/>
        <w:jc w:val="both"/>
      </w:pPr>
      <w:r>
        <w:rPr/>
        <w:t>There are a multitude of tests available to measure gastrointestinal function, motility, and barrier integrity, such as scintigraphy, body surface gastric mapping, impedance planimetry, wireless motility capsule, cine– magnetic resonance imaging, high-resolution manometry, and confocal laser endomicroscopy. Unfortunately, most of these are not routine clinical investigations and do not provide</w:t>
      </w:r>
      <w:r>
        <w:rPr>
          <w:spacing w:val="-6"/>
        </w:rPr>
        <w:t> </w:t>
      </w:r>
      <w:r>
        <w:rPr/>
        <w:t>insights</w:t>
      </w:r>
      <w:r>
        <w:rPr>
          <w:spacing w:val="-6"/>
        </w:rPr>
        <w:t> </w:t>
      </w:r>
      <w:r>
        <w:rPr/>
        <w:t>into</w:t>
      </w:r>
      <w:r>
        <w:rPr>
          <w:spacing w:val="-5"/>
        </w:rPr>
        <w:t> </w:t>
      </w:r>
      <w:r>
        <w:rPr/>
        <w:t>the</w:t>
      </w:r>
      <w:r>
        <w:rPr>
          <w:spacing w:val="-6"/>
        </w:rPr>
        <w:t> </w:t>
      </w:r>
      <w:r>
        <w:rPr/>
        <w:t>molecular</w:t>
      </w:r>
      <w:r>
        <w:rPr>
          <w:spacing w:val="-6"/>
        </w:rPr>
        <w:t> </w:t>
      </w:r>
      <w:r>
        <w:rPr/>
        <w:t>and</w:t>
      </w:r>
      <w:r>
        <w:rPr>
          <w:spacing w:val="-6"/>
        </w:rPr>
        <w:t> </w:t>
      </w:r>
      <w:r>
        <w:rPr/>
        <w:t>cellular</w:t>
      </w:r>
      <w:r>
        <w:rPr>
          <w:spacing w:val="-5"/>
        </w:rPr>
        <w:t> </w:t>
      </w:r>
      <w:r>
        <w:rPr/>
        <w:t>mechanisms to guide therapeutic interventions [</w:t>
      </w:r>
      <w:hyperlink w:history="true" w:anchor="_bookmark102">
        <w:r>
          <w:rPr>
            <w:color w:val="127EAD"/>
          </w:rPr>
          <w:t>89</w:t>
        </w:r>
      </w:hyperlink>
      <w:r>
        <w:rPr/>
        <w:t>]. There are only a few drugs available to treat gastrointestinal motility disorders. Specific to the POTS population and in addition to its heart rate slowing effect, pyridostigmine can increase gastroin- testinal motility by blocking the breakdown of acetylcholine released by parasympathetic autonomic nervous system neurons,   enhancing   smooth   muscle   contractions   in</w:t>
      </w:r>
      <w:r>
        <w:rPr>
          <w:spacing w:val="-2"/>
        </w:rPr>
        <w:t> </w:t>
      </w:r>
      <w:r>
        <w:rPr/>
        <w:t>the</w:t>
      </w:r>
    </w:p>
    <w:p>
      <w:pPr>
        <w:pStyle w:val="BodyText"/>
        <w:spacing w:line="256" w:lineRule="auto" w:before="93"/>
        <w:ind w:left="106" w:right="114"/>
        <w:jc w:val="both"/>
      </w:pPr>
      <w:r>
        <w:rPr/>
        <w:br w:type="column"/>
      </w:r>
      <w:r>
        <w:rPr/>
        <w:t>gastrointestinal tract, as seen in those with autonomic neu- ropathy [</w:t>
      </w:r>
      <w:hyperlink w:history="true" w:anchor="_bookmark107">
        <w:r>
          <w:rPr>
            <w:color w:val="127EAD"/>
          </w:rPr>
          <w:t>94</w:t>
        </w:r>
      </w:hyperlink>
      <w:r>
        <w:rPr/>
        <w:t>]. Other prokinetic agents, such as metoclopra- mide, erythromycin, or prucalopride, may also be considered in those with delayed gastric emptying. Ortho- static nausea may be reduced if an adequate intake of fluid and</w:t>
      </w:r>
      <w:r>
        <w:rPr>
          <w:spacing w:val="-5"/>
        </w:rPr>
        <w:t> </w:t>
      </w:r>
      <w:r>
        <w:rPr/>
        <w:t>sodium</w:t>
      </w:r>
      <w:r>
        <w:rPr>
          <w:spacing w:val="-4"/>
        </w:rPr>
        <w:t> </w:t>
      </w:r>
      <w:r>
        <w:rPr/>
        <w:t>can</w:t>
      </w:r>
      <w:r>
        <w:rPr>
          <w:spacing w:val="-5"/>
        </w:rPr>
        <w:t> </w:t>
      </w:r>
      <w:r>
        <w:rPr/>
        <w:t>be</w:t>
      </w:r>
      <w:r>
        <w:rPr>
          <w:spacing w:val="-5"/>
        </w:rPr>
        <w:t> </w:t>
      </w:r>
      <w:r>
        <w:rPr/>
        <w:t>achieved.</w:t>
      </w:r>
      <w:r>
        <w:rPr>
          <w:spacing w:val="-5"/>
        </w:rPr>
        <w:t> </w:t>
      </w:r>
      <w:r>
        <w:rPr/>
        <w:t>Those</w:t>
      </w:r>
      <w:r>
        <w:rPr>
          <w:spacing w:val="-5"/>
        </w:rPr>
        <w:t> </w:t>
      </w:r>
      <w:r>
        <w:rPr/>
        <w:t>with</w:t>
      </w:r>
      <w:r>
        <w:rPr>
          <w:spacing w:val="-4"/>
        </w:rPr>
        <w:t> </w:t>
      </w:r>
      <w:r>
        <w:rPr/>
        <w:t>suspected</w:t>
      </w:r>
      <w:r>
        <w:rPr>
          <w:spacing w:val="-5"/>
        </w:rPr>
        <w:t> </w:t>
      </w:r>
      <w:r>
        <w:rPr/>
        <w:t>mast</w:t>
      </w:r>
      <w:r>
        <w:rPr>
          <w:spacing w:val="-5"/>
        </w:rPr>
        <w:t> </w:t>
      </w:r>
      <w:r>
        <w:rPr/>
        <w:t>cell dysregulation contributing to gastrointestinal symptom burden may benefit from an initial trial with dual antihis- tamines to assess therapeutic response. Novel therapies targeting the molecular and cellular mechanisms that un- derlie neuroimmune axis interactions may, in the future, open exciting avenues to improve gastrointestinal function, motility, and barrier integrity, along with reducing chronic pain and improving enteral</w:t>
      </w:r>
      <w:r>
        <w:rPr>
          <w:spacing w:val="44"/>
        </w:rPr>
        <w:t> </w:t>
      </w:r>
      <w:r>
        <w:rPr/>
        <w:t>tolerance.</w:t>
      </w:r>
    </w:p>
    <w:p>
      <w:pPr>
        <w:pStyle w:val="BodyText"/>
        <w:spacing w:before="4"/>
        <w:rPr>
          <w:sz w:val="16"/>
        </w:rPr>
      </w:pPr>
    </w:p>
    <w:p>
      <w:pPr>
        <w:pStyle w:val="Heading3"/>
        <w:spacing w:line="211" w:lineRule="exact"/>
      </w:pPr>
      <w:r>
        <w:rPr/>
        <w:t>Psychological</w:t>
      </w:r>
    </w:p>
    <w:p>
      <w:pPr>
        <w:pStyle w:val="BodyText"/>
        <w:spacing w:line="256" w:lineRule="auto"/>
        <w:ind w:left="106" w:right="114"/>
        <w:jc w:val="both"/>
      </w:pPr>
      <w:r>
        <w:rPr/>
        <w:t>There is no increase in lifetime prevalence of major depressive or anxiety disorders in those with POTS compared with the general population when assessed using a formal clinical interview [</w:t>
      </w:r>
      <w:hyperlink w:history="true" w:anchor="_bookmark108">
        <w:r>
          <w:rPr>
            <w:color w:val="127EAD"/>
          </w:rPr>
          <w:t>95</w:t>
        </w:r>
      </w:hyperlink>
      <w:r>
        <w:rPr/>
        <w:t>]. Using self-rated question- naires, most studies found mild to moderate depression [</w:t>
      </w:r>
      <w:hyperlink w:history="true" w:anchor="_bookmark108">
        <w:r>
          <w:rPr>
            <w:color w:val="127EAD"/>
          </w:rPr>
          <w:t>95–97</w:t>
        </w:r>
      </w:hyperlink>
      <w:r>
        <w:rPr/>
        <w:t>], whereas severe depression is less common [</w:t>
      </w:r>
      <w:hyperlink w:history="true" w:anchor="_bookmark111">
        <w:r>
          <w:rPr>
            <w:color w:val="127EAD"/>
          </w:rPr>
          <w:t>98</w:t>
        </w:r>
      </w:hyperlink>
      <w:r>
        <w:rPr/>
        <w:t>]. Higher depression scores have been found to be associated with increased orthostatic symptoms, perceived level of disability, and recency of POTS diagnosis [</w:t>
      </w:r>
      <w:hyperlink w:history="true" w:anchor="_bookmark108">
        <w:r>
          <w:rPr>
            <w:color w:val="127EAD"/>
          </w:rPr>
          <w:t>95</w:t>
        </w:r>
      </w:hyperlink>
      <w:r>
        <w:rPr/>
        <w:t>,</w:t>
      </w:r>
      <w:hyperlink w:history="true" w:anchor="_bookmark110">
        <w:r>
          <w:rPr>
            <w:color w:val="127EAD"/>
          </w:rPr>
          <w:t>97</w:t>
        </w:r>
      </w:hyperlink>
      <w:r>
        <w:rPr/>
        <w:t>,</w:t>
      </w:r>
      <w:hyperlink w:history="true" w:anchor="_bookmark112">
        <w:r>
          <w:rPr>
            <w:color w:val="127EAD"/>
          </w:rPr>
          <w:t>99</w:t>
        </w:r>
      </w:hyperlink>
      <w:r>
        <w:rPr/>
        <w:t>,</w:t>
      </w:r>
      <w:hyperlink w:history="true" w:anchor="_bookmark113">
        <w:r>
          <w:rPr>
            <w:color w:val="127EAD"/>
          </w:rPr>
          <w:t>100</w:t>
        </w:r>
      </w:hyperlink>
      <w:r>
        <w:rPr/>
        <w:t>]. Mild increase in anxiety has been shown in several POTS studies [</w:t>
      </w:r>
      <w:hyperlink w:history="true" w:anchor="_bookmark108">
        <w:r>
          <w:rPr>
            <w:color w:val="127EAD"/>
          </w:rPr>
          <w:t>95</w:t>
        </w:r>
      </w:hyperlink>
      <w:r>
        <w:rPr/>
        <w:t>,</w:t>
      </w:r>
      <w:hyperlink w:history="true" w:anchor="_bookmark114">
        <w:r>
          <w:rPr>
            <w:color w:val="127EAD"/>
          </w:rPr>
          <w:t>101</w:t>
        </w:r>
      </w:hyperlink>
      <w:r>
        <w:rPr/>
        <w:t>,</w:t>
      </w:r>
      <w:hyperlink w:history="true" w:anchor="_bookmark115">
        <w:r>
          <w:rPr>
            <w:color w:val="127EAD"/>
          </w:rPr>
          <w:t>102</w:t>
        </w:r>
      </w:hyperlink>
      <w:r>
        <w:rPr/>
        <w:t>], with contribution from increased vigi- lance for cardiac symptoms and feeling faint [</w:t>
      </w:r>
      <w:hyperlink w:history="true" w:anchor="_bookmark109">
        <w:r>
          <w:rPr>
            <w:color w:val="127EAD"/>
          </w:rPr>
          <w:t>96</w:t>
        </w:r>
      </w:hyperlink>
      <w:r>
        <w:rPr/>
        <w:t>,</w:t>
      </w:r>
      <w:hyperlink w:history="true" w:anchor="_bookmark116">
        <w:r>
          <w:rPr>
            <w:color w:val="127EAD"/>
          </w:rPr>
          <w:t>103</w:t>
        </w:r>
      </w:hyperlink>
      <w:r>
        <w:rPr/>
        <w:t>]. Masuki et al. [</w:t>
      </w:r>
      <w:hyperlink w:history="true" w:anchor="_bookmark114">
        <w:r>
          <w:rPr>
            <w:color w:val="127EAD"/>
          </w:rPr>
          <w:t>101</w:t>
        </w:r>
      </w:hyperlink>
      <w:r>
        <w:rPr/>
        <w:t>] have elegantly demonstrated that excessive heart rate increase to orthostatic stress in those with POTS was not caused by anxiety. However, in an on- line self-report study, Pederson and Brook found that 15% of patients with POTS had attempted suicide compared  with 3% of controls, whereas 20% of the respondents with POTS fell into a high-risk category for suicidal ideation and attempts</w:t>
      </w:r>
      <w:r>
        <w:rPr>
          <w:spacing w:val="8"/>
        </w:rPr>
        <w:t> </w:t>
      </w:r>
      <w:r>
        <w:rPr/>
        <w:t>[</w:t>
      </w:r>
      <w:hyperlink w:history="true" w:anchor="_bookmark117">
        <w:r>
          <w:rPr>
            <w:color w:val="127EAD"/>
          </w:rPr>
          <w:t>104</w:t>
        </w:r>
      </w:hyperlink>
      <w:r>
        <w:rPr/>
        <w:t>].</w:t>
      </w:r>
    </w:p>
    <w:p>
      <w:pPr>
        <w:pStyle w:val="BodyText"/>
        <w:spacing w:line="256" w:lineRule="auto"/>
        <w:ind w:left="106" w:right="114" w:firstLine="179"/>
        <w:jc w:val="both"/>
      </w:pPr>
      <w:r>
        <w:rPr/>
        <w:t>Studies assessing psychotropic drugs in POTS are</w:t>
      </w:r>
      <w:r>
        <w:rPr>
          <w:spacing w:val="-19"/>
        </w:rPr>
        <w:t> </w:t>
      </w:r>
      <w:r>
        <w:rPr/>
        <w:t>limited. In an acute study administering sertraline, patients with POTS experienced modest increase in seated BP that did</w:t>
      </w:r>
      <w:r>
        <w:rPr>
          <w:spacing w:val="-10"/>
        </w:rPr>
        <w:t> </w:t>
      </w:r>
      <w:r>
        <w:rPr/>
        <w:t>not translate to reduced heart rate or improved symptoms compared with placebo [</w:t>
      </w:r>
      <w:hyperlink w:history="true" w:anchor="_bookmark118">
        <w:r>
          <w:rPr>
            <w:color w:val="127EAD"/>
          </w:rPr>
          <w:t>105</w:t>
        </w:r>
      </w:hyperlink>
      <w:r>
        <w:rPr/>
        <w:t>]. In a retrospective medical record review, patients with POTS who were taking bupropion did not experience a significant change in heart rate, BP, or POTS symptoms [</w:t>
      </w:r>
      <w:hyperlink w:history="true" w:anchor="_bookmark119">
        <w:r>
          <w:rPr>
            <w:color w:val="127EAD"/>
          </w:rPr>
          <w:t>106</w:t>
        </w:r>
      </w:hyperlink>
      <w:r>
        <w:rPr/>
        <w:t>]. Others have found the use of serotonin-norepinephrine reuptake inhibitor to worsen POTS symptoms and orthostatic tachycardia [</w:t>
      </w:r>
      <w:hyperlink w:history="true" w:anchor="_bookmark120">
        <w:r>
          <w:rPr>
            <w:color w:val="127EAD"/>
          </w:rPr>
          <w:t>107</w:t>
        </w:r>
      </w:hyperlink>
      <w:r>
        <w:rPr/>
        <w:t>]. Taken together, the use of psychotropic drugs in those with POTS requires careful monitoring and titration, whereas adjunctive psychological support may assist in managing comorbid anxiety, depression, or adjustment difficulties</w:t>
      </w:r>
      <w:r>
        <w:rPr>
          <w:spacing w:val="-28"/>
        </w:rPr>
        <w:t> </w:t>
      </w:r>
      <w:r>
        <w:rPr/>
        <w:t>that can arise secondary to chronic illness </w:t>
      </w:r>
      <w:r>
        <w:rPr>
          <w:spacing w:val="25"/>
        </w:rPr>
        <w:t> </w:t>
      </w:r>
      <w:r>
        <w:rPr/>
        <w:t>[</w:t>
      </w:r>
      <w:hyperlink w:history="true" w:anchor="_bookmark121">
        <w:r>
          <w:rPr>
            <w:color w:val="127EAD"/>
          </w:rPr>
          <w:t>108</w:t>
        </w:r>
      </w:hyperlink>
      <w:r>
        <w:rPr/>
        <w:t>].</w:t>
      </w:r>
    </w:p>
    <w:p>
      <w:pPr>
        <w:pStyle w:val="BodyText"/>
        <w:spacing w:before="10"/>
        <w:rPr>
          <w:sz w:val="23"/>
        </w:rPr>
      </w:pPr>
    </w:p>
    <w:p>
      <w:pPr>
        <w:pStyle w:val="Heading2"/>
      </w:pPr>
      <w:r>
        <w:rPr>
          <w:color w:val="0093D6"/>
        </w:rPr>
        <w:t>POTS in the Paediatric</w:t>
      </w:r>
      <w:r>
        <w:rPr>
          <w:color w:val="0093D6"/>
          <w:spacing w:val="62"/>
        </w:rPr>
        <w:t> </w:t>
      </w:r>
      <w:r>
        <w:rPr>
          <w:color w:val="0093D6"/>
        </w:rPr>
        <w:t>Population</w:t>
      </w:r>
    </w:p>
    <w:p>
      <w:pPr>
        <w:pStyle w:val="BodyText"/>
        <w:spacing w:line="256" w:lineRule="auto" w:before="39"/>
        <w:ind w:left="106" w:right="114"/>
        <w:jc w:val="both"/>
      </w:pPr>
      <w:r>
        <w:rPr/>
        <w:t>POTS occurs in the paediatric population, with the reported modal age of onset at 14 years [</w:t>
      </w:r>
      <w:hyperlink w:history="true" w:anchor="_bookmark26">
        <w:r>
          <w:rPr>
            <w:color w:val="127EAD"/>
          </w:rPr>
          <w:t>5</w:t>
        </w:r>
      </w:hyperlink>
      <w:r>
        <w:rPr/>
        <w:t>]. In addition to a history of</w:t>
      </w:r>
    </w:p>
    <w:p>
      <w:pPr>
        <w:spacing w:after="0" w:line="256" w:lineRule="auto"/>
        <w:jc w:val="both"/>
        <w:sectPr>
          <w:type w:val="continuous"/>
          <w:pgSz w:w="11910" w:h="15880"/>
          <w:pgMar w:top="660" w:bottom="280" w:left="780" w:right="840"/>
          <w:cols w:num="2" w:equalWidth="0">
            <w:col w:w="5143" w:space="137"/>
            <w:col w:w="5010"/>
          </w:cols>
        </w:sectPr>
      </w:pPr>
    </w:p>
    <w:p>
      <w:pPr>
        <w:pStyle w:val="BodyText"/>
        <w:spacing w:before="8"/>
        <w:rPr>
          <w:sz w:val="25"/>
        </w:rPr>
      </w:pPr>
    </w:p>
    <w:p>
      <w:pPr>
        <w:spacing w:after="0"/>
        <w:rPr>
          <w:sz w:val="25"/>
        </w:rPr>
        <w:sectPr>
          <w:pgSz w:w="11910" w:h="15880"/>
          <w:pgMar w:header="470" w:footer="0" w:top="840" w:bottom="280" w:left="840" w:right="780"/>
        </w:sectPr>
      </w:pPr>
    </w:p>
    <w:p>
      <w:pPr>
        <w:pStyle w:val="BodyText"/>
        <w:spacing w:line="256" w:lineRule="auto" w:before="94"/>
        <w:ind w:left="116" w:right="251"/>
        <w:jc w:val="both"/>
      </w:pPr>
      <w:r>
        <w:rPr/>
        <w:drawing>
          <wp:anchor distT="0" distB="0" distL="0" distR="0" allowOverlap="1" layoutInCell="1" locked="0" behindDoc="0" simplePos="0" relativeHeight="1624">
            <wp:simplePos x="0" y="0"/>
            <wp:positionH relativeFrom="page">
              <wp:posOffset>3792867</wp:posOffset>
            </wp:positionH>
            <wp:positionV relativeFrom="paragraph">
              <wp:posOffset>89306</wp:posOffset>
            </wp:positionV>
            <wp:extent cx="12649" cy="8395426"/>
            <wp:effectExtent l="0" t="0" r="0" b="0"/>
            <wp:wrapNone/>
            <wp:docPr id="21" name="image24.png" descr=""/>
            <wp:cNvGraphicFramePr>
              <a:graphicFrameLocks noChangeAspect="1"/>
            </wp:cNvGraphicFramePr>
            <a:graphic>
              <a:graphicData uri="http://schemas.openxmlformats.org/drawingml/2006/picture">
                <pic:pic>
                  <pic:nvPicPr>
                    <pic:cNvPr id="22" name="image24.png"/>
                    <pic:cNvPicPr/>
                  </pic:nvPicPr>
                  <pic:blipFill>
                    <a:blip r:embed="rId34" cstate="print"/>
                    <a:stretch>
                      <a:fillRect/>
                    </a:stretch>
                  </pic:blipFill>
                  <pic:spPr>
                    <a:xfrm>
                      <a:off x="0" y="0"/>
                      <a:ext cx="12649" cy="8395426"/>
                    </a:xfrm>
                    <a:prstGeom prst="rect">
                      <a:avLst/>
                    </a:prstGeom>
                  </pic:spPr>
                </pic:pic>
              </a:graphicData>
            </a:graphic>
          </wp:anchor>
        </w:drawing>
      </w:r>
      <w:bookmarkStart w:name="Primary Care and POTS" w:id="41"/>
      <w:bookmarkEnd w:id="41"/>
      <w:r>
        <w:rPr/>
      </w:r>
      <w:bookmarkStart w:name="Patient Experiences and Advocacy in POTS" w:id="42"/>
      <w:bookmarkEnd w:id="42"/>
      <w:r>
        <w:rPr/>
      </w:r>
      <w:r>
        <w:rPr/>
        <w:t>chronic orthostatic intolerance, the diagnostic criteria include a sustained upright heart rate increase of </w:t>
      </w:r>
      <w:r>
        <w:rPr>
          <w:rFonts w:ascii="Arial" w:hAnsi="Arial"/>
        </w:rPr>
        <w:t>≥</w:t>
      </w:r>
      <w:r>
        <w:rPr/>
        <w:t>40 bpm in those aged 12–19 years, although this threshold has been debated [</w:t>
      </w:r>
      <w:hyperlink w:history="true" w:anchor="_bookmark28">
        <w:r>
          <w:rPr>
            <w:color w:val="127EAD"/>
          </w:rPr>
          <w:t>7</w:t>
        </w:r>
      </w:hyperlink>
      <w:r>
        <w:rPr/>
        <w:t>,</w:t>
      </w:r>
      <w:hyperlink w:history="true" w:anchor="_bookmark122">
        <w:r>
          <w:rPr>
            <w:color w:val="127EAD"/>
          </w:rPr>
          <w:t>109</w:t>
        </w:r>
      </w:hyperlink>
      <w:r>
        <w:rPr/>
        <w:t>]. Indeed, autonomic symptomatology was found to be equivalent in adolescents with chronic ortho- static intolerance and a standing test–induced heart rate increase of 30–39 bpm or </w:t>
      </w:r>
      <w:r>
        <w:rPr>
          <w:rFonts w:ascii="Arial" w:hAnsi="Arial"/>
        </w:rPr>
        <w:t>≥</w:t>
      </w:r>
      <w:r>
        <w:rPr/>
        <w:t>40 bpm [</w:t>
      </w:r>
      <w:hyperlink w:history="true" w:anchor="_bookmark123">
        <w:r>
          <w:rPr>
            <w:color w:val="127EAD"/>
          </w:rPr>
          <w:t>110</w:t>
        </w:r>
      </w:hyperlink>
      <w:r>
        <w:rPr/>
        <w:t>]. Consensus state- ments</w:t>
      </w:r>
      <w:r>
        <w:rPr>
          <w:spacing w:val="-6"/>
        </w:rPr>
        <w:t> </w:t>
      </w:r>
      <w:r>
        <w:rPr/>
        <w:t>have</w:t>
      </w:r>
      <w:r>
        <w:rPr>
          <w:spacing w:val="-6"/>
        </w:rPr>
        <w:t> </w:t>
      </w:r>
      <w:r>
        <w:rPr/>
        <w:t>historically</w:t>
      </w:r>
      <w:r>
        <w:rPr>
          <w:spacing w:val="-5"/>
        </w:rPr>
        <w:t> </w:t>
      </w:r>
      <w:r>
        <w:rPr/>
        <w:t>used</w:t>
      </w:r>
      <w:r>
        <w:rPr>
          <w:spacing w:val="-5"/>
        </w:rPr>
        <w:t> </w:t>
      </w:r>
      <w:r>
        <w:rPr/>
        <w:t>aged</w:t>
      </w:r>
      <w:r>
        <w:rPr>
          <w:spacing w:val="-5"/>
        </w:rPr>
        <w:t> </w:t>
      </w:r>
      <w:r>
        <w:rPr/>
        <w:t>12</w:t>
      </w:r>
      <w:r>
        <w:rPr>
          <w:spacing w:val="-6"/>
        </w:rPr>
        <w:t> </w:t>
      </w:r>
      <w:r>
        <w:rPr/>
        <w:t>years</w:t>
      </w:r>
      <w:r>
        <w:rPr>
          <w:spacing w:val="-5"/>
        </w:rPr>
        <w:t> </w:t>
      </w:r>
      <w:r>
        <w:rPr/>
        <w:t>as</w:t>
      </w:r>
      <w:r>
        <w:rPr>
          <w:spacing w:val="-6"/>
        </w:rPr>
        <w:t> </w:t>
      </w:r>
      <w:r>
        <w:rPr/>
        <w:t>the</w:t>
      </w:r>
      <w:r>
        <w:rPr>
          <w:spacing w:val="-5"/>
        </w:rPr>
        <w:t> </w:t>
      </w:r>
      <w:r>
        <w:rPr/>
        <w:t>lower</w:t>
      </w:r>
      <w:r>
        <w:rPr>
          <w:spacing w:val="-5"/>
        </w:rPr>
        <w:t> </w:t>
      </w:r>
      <w:r>
        <w:rPr/>
        <w:t>limit for diagnosing patients with paediatric POTS [</w:t>
      </w:r>
      <w:hyperlink w:history="true" w:anchor="_bookmark28">
        <w:r>
          <w:rPr>
            <w:color w:val="127EAD"/>
          </w:rPr>
          <w:t>7</w:t>
        </w:r>
      </w:hyperlink>
      <w:r>
        <w:rPr/>
        <w:t>,</w:t>
      </w:r>
      <w:hyperlink w:history="true" w:anchor="_bookmark99">
        <w:r>
          <w:rPr>
            <w:color w:val="127EAD"/>
          </w:rPr>
          <w:t>86</w:t>
        </w:r>
      </w:hyperlink>
      <w:r>
        <w:rPr/>
        <w:t>]. How- ever, those aged younger than 12 years can exhibit the same symptomatology, with probably similar underlying patho- physiologic mechanism seen in adolescents and adults. Taken together, the absolute heart rate threshold and age criteria in paediatrics POTS appear to be too restrictive and require further</w:t>
      </w:r>
      <w:r>
        <w:rPr>
          <w:spacing w:val="19"/>
        </w:rPr>
        <w:t> </w:t>
      </w:r>
      <w:r>
        <w:rPr/>
        <w:t>assessment.</w:t>
      </w:r>
    </w:p>
    <w:p>
      <w:pPr>
        <w:pStyle w:val="BodyText"/>
        <w:spacing w:line="256" w:lineRule="auto"/>
        <w:ind w:left="116" w:right="251" w:firstLine="179"/>
        <w:jc w:val="both"/>
      </w:pPr>
      <w:r>
        <w:rPr/>
        <w:t>Because the manifestations of paediatric POTS appear to be no different from those of adult POTS, therapeutic approach is similar with non-pharmacologic and pharma- cologic therapies [</w:t>
      </w:r>
      <w:hyperlink w:history="true" w:anchor="_bookmark124">
        <w:r>
          <w:rPr>
            <w:color w:val="127EAD"/>
          </w:rPr>
          <w:t>111–113</w:t>
        </w:r>
      </w:hyperlink>
      <w:r>
        <w:rPr/>
        <w:t>]. Similarly, this will include diagnosis and treatment of any other comorbid conditions in conjunction with their POTS [</w:t>
      </w:r>
      <w:hyperlink w:history="true" w:anchor="_bookmark125">
        <w:r>
          <w:rPr>
            <w:color w:val="127EAD"/>
          </w:rPr>
          <w:t>114</w:t>
        </w:r>
      </w:hyperlink>
      <w:r>
        <w:rPr/>
        <w:t>,</w:t>
      </w:r>
      <w:hyperlink w:history="true" w:anchor="_bookmark126">
        <w:r>
          <w:rPr>
            <w:color w:val="127EAD"/>
          </w:rPr>
          <w:t>115</w:t>
        </w:r>
      </w:hyperlink>
      <w:r>
        <w:rPr/>
        <w:t>]. Recent data from the Australian POTS registry showed that adolescents (aged </w:t>
      </w:r>
      <w:r>
        <w:rPr>
          <w:w w:val="99"/>
        </w:rPr>
        <w:t>16–19</w:t>
      </w:r>
      <w:r>
        <w:rPr>
          <w:spacing w:val="18"/>
        </w:rPr>
        <w:t> </w:t>
      </w:r>
      <w:r>
        <w:rPr>
          <w:w w:val="99"/>
        </w:rPr>
        <w:t>years)</w:t>
      </w:r>
      <w:r>
        <w:rPr>
          <w:spacing w:val="18"/>
        </w:rPr>
        <w:t> </w:t>
      </w:r>
      <w:r>
        <w:rPr>
          <w:w w:val="99"/>
        </w:rPr>
        <w:t>and</w:t>
      </w:r>
      <w:r>
        <w:rPr>
          <w:spacing w:val="17"/>
        </w:rPr>
        <w:t> </w:t>
      </w:r>
      <w:r>
        <w:rPr>
          <w:w w:val="99"/>
        </w:rPr>
        <w:t>adults</w:t>
      </w:r>
      <w:r>
        <w:rPr>
          <w:spacing w:val="18"/>
        </w:rPr>
        <w:t> </w:t>
      </w:r>
      <w:r>
        <w:rPr>
          <w:w w:val="99"/>
        </w:rPr>
        <w:t>(aged</w:t>
      </w:r>
      <w:r>
        <w:rPr>
          <w:spacing w:val="18"/>
        </w:rPr>
        <w:t> </w:t>
      </w:r>
      <w:r>
        <w:rPr>
          <w:rFonts w:ascii="Lucida Sans" w:hAnsi="Lucida Sans"/>
          <w:w w:val="262"/>
        </w:rPr>
        <w:t>.</w:t>
      </w:r>
      <w:r>
        <w:rPr>
          <w:w w:val="99"/>
        </w:rPr>
        <w:t>19</w:t>
      </w:r>
      <w:r>
        <w:rPr>
          <w:spacing w:val="18"/>
        </w:rPr>
        <w:t> </w:t>
      </w:r>
      <w:r>
        <w:rPr>
          <w:w w:val="99"/>
        </w:rPr>
        <w:t>years)</w:t>
      </w:r>
      <w:r>
        <w:rPr>
          <w:spacing w:val="18"/>
        </w:rPr>
        <w:t> </w:t>
      </w:r>
      <w:r>
        <w:rPr>
          <w:w w:val="99"/>
        </w:rPr>
        <w:t>exhibited</w:t>
      </w:r>
      <w:r>
        <w:rPr>
          <w:spacing w:val="18"/>
        </w:rPr>
        <w:t> </w:t>
      </w:r>
      <w:r>
        <w:rPr>
          <w:w w:val="99"/>
        </w:rPr>
        <w:t>similar </w:t>
      </w:r>
      <w:r>
        <w:rPr/>
        <w:t>autonomic symptom scores, with no significant differences in total COMPASS-31, secretory motor, vasomotor, or pu- pillary motor scores, with the exception of worse orthostatic intolerance but less severe bladder and gastrointestinal symptom scores in the younger group [</w:t>
      </w:r>
      <w:hyperlink w:history="true" w:anchor="_bookmark31">
        <w:r>
          <w:rPr>
            <w:color w:val="127EAD"/>
          </w:rPr>
          <w:t>10</w:t>
        </w:r>
      </w:hyperlink>
      <w:r>
        <w:rPr/>
        <w:t>]. Despite several previous studies suggesting that POTS is self-limited and spontaneously resolves, a recent large study in young adult patients with symptoms for a mean duration of 9.6 years demonstrated that 99.1% of patients remained symptomatic and required continued therapeutic interventions [</w:t>
      </w:r>
      <w:hyperlink w:history="true" w:anchor="_bookmark127">
        <w:r>
          <w:rPr>
            <w:color w:val="127EAD"/>
          </w:rPr>
          <w:t>116</w:t>
        </w:r>
      </w:hyperlink>
      <w:r>
        <w:rPr/>
        <w:t>].</w:t>
      </w:r>
      <w:r>
        <w:rPr>
          <w:spacing w:val="-24"/>
        </w:rPr>
        <w:t> </w:t>
      </w:r>
      <w:r>
        <w:rPr/>
        <w:t>This highlights that various therapies only suppress symptoms without eliminating the actual cause of POTS. Several con- siderations exist in younger POTS populations because ad- olescents are still undergoing cerebral maturation, have increased hormonal activity, are typically more physically active, have greater joint mobility, have somatic growth, initiate menarche, and (typically) have parents who also require guidance in their development and diagnostic journey.</w:t>
      </w:r>
    </w:p>
    <w:p>
      <w:pPr>
        <w:pStyle w:val="BodyText"/>
        <w:spacing w:before="11"/>
        <w:rPr>
          <w:sz w:val="23"/>
        </w:rPr>
      </w:pPr>
    </w:p>
    <w:p>
      <w:pPr>
        <w:pStyle w:val="Heading2"/>
        <w:ind w:left="116"/>
      </w:pPr>
      <w:r>
        <w:rPr>
          <w:color w:val="0093D6"/>
        </w:rPr>
        <w:t>Primary Care and POTS</w:t>
      </w:r>
    </w:p>
    <w:p>
      <w:pPr>
        <w:pStyle w:val="BodyText"/>
        <w:spacing w:line="256" w:lineRule="auto" w:before="39"/>
        <w:ind w:left="116" w:right="251"/>
        <w:jc w:val="both"/>
      </w:pPr>
      <w:r>
        <w:rPr>
          <w:spacing w:val="-4"/>
        </w:rPr>
        <w:t>General practitioners (GPs) </w:t>
      </w:r>
      <w:r>
        <w:rPr>
          <w:spacing w:val="-3"/>
        </w:rPr>
        <w:t>have </w:t>
      </w:r>
      <w:r>
        <w:rPr/>
        <w:t>a </w:t>
      </w:r>
      <w:r>
        <w:rPr>
          <w:spacing w:val="-4"/>
        </w:rPr>
        <w:t>central </w:t>
      </w:r>
      <w:r>
        <w:rPr>
          <w:spacing w:val="-3"/>
        </w:rPr>
        <w:t>role </w:t>
      </w:r>
      <w:r>
        <w:rPr/>
        <w:t>in </w:t>
      </w:r>
      <w:r>
        <w:rPr>
          <w:spacing w:val="-4"/>
        </w:rPr>
        <w:t>detecting and managing patients </w:t>
      </w:r>
      <w:r>
        <w:rPr>
          <w:spacing w:val="-3"/>
        </w:rPr>
        <w:t>with </w:t>
      </w:r>
      <w:r>
        <w:rPr>
          <w:spacing w:val="-4"/>
        </w:rPr>
        <w:t>POTS, </w:t>
      </w:r>
      <w:r>
        <w:rPr/>
        <w:t>as </w:t>
      </w:r>
      <w:r>
        <w:rPr>
          <w:spacing w:val="-3"/>
        </w:rPr>
        <w:t>well </w:t>
      </w:r>
      <w:r>
        <w:rPr/>
        <w:t>as </w:t>
      </w:r>
      <w:r>
        <w:rPr>
          <w:spacing w:val="-4"/>
        </w:rPr>
        <w:t>referring </w:t>
      </w:r>
      <w:r>
        <w:rPr/>
        <w:t>to </w:t>
      </w:r>
      <w:r>
        <w:rPr>
          <w:spacing w:val="-4"/>
        </w:rPr>
        <w:t>specialist care,</w:t>
      </w:r>
      <w:r>
        <w:rPr>
          <w:spacing w:val="-16"/>
        </w:rPr>
        <w:t> </w:t>
      </w:r>
      <w:r>
        <w:rPr>
          <w:spacing w:val="-3"/>
        </w:rPr>
        <w:t>when</w:t>
      </w:r>
      <w:r>
        <w:rPr>
          <w:spacing w:val="-15"/>
        </w:rPr>
        <w:t> </w:t>
      </w:r>
      <w:r>
        <w:rPr>
          <w:spacing w:val="-4"/>
        </w:rPr>
        <w:t>appropriate.</w:t>
      </w:r>
      <w:r>
        <w:rPr>
          <w:spacing w:val="-16"/>
        </w:rPr>
        <w:t> </w:t>
      </w:r>
      <w:r>
        <w:rPr>
          <w:spacing w:val="-3"/>
        </w:rPr>
        <w:t>GPs</w:t>
      </w:r>
      <w:r>
        <w:rPr>
          <w:spacing w:val="-14"/>
        </w:rPr>
        <w:t> </w:t>
      </w:r>
      <w:r>
        <w:rPr>
          <w:spacing w:val="-3"/>
        </w:rPr>
        <w:t>are</w:t>
      </w:r>
      <w:r>
        <w:rPr>
          <w:spacing w:val="-14"/>
        </w:rPr>
        <w:t> </w:t>
      </w:r>
      <w:r>
        <w:rPr>
          <w:spacing w:val="-4"/>
        </w:rPr>
        <w:t>ideally</w:t>
      </w:r>
      <w:r>
        <w:rPr>
          <w:spacing w:val="-15"/>
        </w:rPr>
        <w:t> </w:t>
      </w:r>
      <w:r>
        <w:rPr>
          <w:spacing w:val="-4"/>
        </w:rPr>
        <w:t>placed</w:t>
      </w:r>
      <w:r>
        <w:rPr>
          <w:spacing w:val="-15"/>
        </w:rPr>
        <w:t> </w:t>
      </w:r>
      <w:r>
        <w:rPr/>
        <w:t>to</w:t>
      </w:r>
      <w:r>
        <w:rPr>
          <w:spacing w:val="-16"/>
        </w:rPr>
        <w:t> </w:t>
      </w:r>
      <w:r>
        <w:rPr>
          <w:spacing w:val="-4"/>
        </w:rPr>
        <w:t>arrest</w:t>
      </w:r>
      <w:r>
        <w:rPr>
          <w:spacing w:val="-15"/>
        </w:rPr>
        <w:t> </w:t>
      </w:r>
      <w:r>
        <w:rPr>
          <w:spacing w:val="-3"/>
        </w:rPr>
        <w:t>the</w:t>
      </w:r>
      <w:r>
        <w:rPr>
          <w:spacing w:val="-15"/>
        </w:rPr>
        <w:t> </w:t>
      </w:r>
      <w:r>
        <w:rPr>
          <w:spacing w:val="-4"/>
        </w:rPr>
        <w:t>long diagnostic journey typical </w:t>
      </w:r>
      <w:r>
        <w:rPr/>
        <w:t>in </w:t>
      </w:r>
      <w:r>
        <w:rPr>
          <w:spacing w:val="-4"/>
        </w:rPr>
        <w:t>those </w:t>
      </w:r>
      <w:r>
        <w:rPr>
          <w:spacing w:val="-3"/>
        </w:rPr>
        <w:t>with POTS </w:t>
      </w:r>
      <w:r>
        <w:rPr/>
        <w:t>at </w:t>
      </w:r>
      <w:r>
        <w:rPr>
          <w:spacing w:val="-3"/>
        </w:rPr>
        <w:t>its </w:t>
      </w:r>
      <w:r>
        <w:rPr>
          <w:spacing w:val="-4"/>
        </w:rPr>
        <w:t>outset by being alert </w:t>
      </w:r>
      <w:r>
        <w:rPr/>
        <w:t>to </w:t>
      </w:r>
      <w:r>
        <w:rPr>
          <w:spacing w:val="-4"/>
        </w:rPr>
        <w:t>considering </w:t>
      </w:r>
      <w:r>
        <w:rPr>
          <w:spacing w:val="-3"/>
        </w:rPr>
        <w:t>POTS </w:t>
      </w:r>
      <w:r>
        <w:rPr/>
        <w:t>in </w:t>
      </w:r>
      <w:r>
        <w:rPr>
          <w:spacing w:val="-4"/>
        </w:rPr>
        <w:t>polysymptomatic patients </w:t>
      </w:r>
      <w:r>
        <w:rPr>
          <w:spacing w:val="-3"/>
        </w:rPr>
        <w:t>and </w:t>
      </w:r>
      <w:r>
        <w:rPr>
          <w:spacing w:val="-4"/>
        </w:rPr>
        <w:t>enquiring about orthostatic intolerance. </w:t>
      </w:r>
      <w:r>
        <w:rPr/>
        <w:t>A </w:t>
      </w:r>
      <w:r>
        <w:rPr>
          <w:spacing w:val="-3"/>
        </w:rPr>
        <w:t>high </w:t>
      </w:r>
      <w:r>
        <w:rPr>
          <w:spacing w:val="-4"/>
        </w:rPr>
        <w:t>index of suspicion should </w:t>
      </w:r>
      <w:r>
        <w:rPr/>
        <w:t>be </w:t>
      </w:r>
      <w:r>
        <w:rPr>
          <w:spacing w:val="-4"/>
        </w:rPr>
        <w:t>maintained </w:t>
      </w:r>
      <w:r>
        <w:rPr/>
        <w:t>in </w:t>
      </w:r>
      <w:r>
        <w:rPr>
          <w:spacing w:val="-4"/>
        </w:rPr>
        <w:t>patients </w:t>
      </w:r>
      <w:r>
        <w:rPr>
          <w:spacing w:val="-3"/>
        </w:rPr>
        <w:t>with </w:t>
      </w:r>
      <w:r>
        <w:rPr>
          <w:spacing w:val="-4"/>
        </w:rPr>
        <w:t>orthostatic intolerance </w:t>
      </w:r>
      <w:r>
        <w:rPr>
          <w:spacing w:val="-3"/>
        </w:rPr>
        <w:t>who have </w:t>
      </w:r>
      <w:r>
        <w:rPr>
          <w:spacing w:val="-4"/>
        </w:rPr>
        <w:t>associated conditions, </w:t>
      </w:r>
      <w:r>
        <w:rPr>
          <w:spacing w:val="-3"/>
        </w:rPr>
        <w:t>such </w:t>
      </w:r>
      <w:r>
        <w:rPr/>
        <w:t>as </w:t>
      </w:r>
      <w:r>
        <w:rPr>
          <w:spacing w:val="-4"/>
        </w:rPr>
        <w:t>joint hypermobility, chronic fatigue including post-infection (COVID-19) syndrome, fibromyalgia, autism spectrum disor- </w:t>
      </w:r>
      <w:r>
        <w:rPr>
          <w:spacing w:val="-3"/>
        </w:rPr>
        <w:t>der,</w:t>
      </w:r>
      <w:r>
        <w:rPr>
          <w:spacing w:val="-24"/>
        </w:rPr>
        <w:t> </w:t>
      </w:r>
      <w:r>
        <w:rPr>
          <w:spacing w:val="-4"/>
        </w:rPr>
        <w:t>attention-deficit/hyperactivity</w:t>
      </w:r>
      <w:r>
        <w:rPr>
          <w:spacing w:val="-24"/>
        </w:rPr>
        <w:t> </w:t>
      </w:r>
      <w:r>
        <w:rPr>
          <w:spacing w:val="-4"/>
        </w:rPr>
        <w:t>disorder,</w:t>
      </w:r>
      <w:r>
        <w:rPr>
          <w:spacing w:val="-24"/>
        </w:rPr>
        <w:t> </w:t>
      </w:r>
      <w:r>
        <w:rPr>
          <w:spacing w:val="-3"/>
        </w:rPr>
        <w:t>and</w:t>
      </w:r>
      <w:r>
        <w:rPr>
          <w:spacing w:val="-24"/>
        </w:rPr>
        <w:t> </w:t>
      </w:r>
      <w:r>
        <w:rPr>
          <w:spacing w:val="-4"/>
        </w:rPr>
        <w:t>endometriosis</w:t>
      </w:r>
    </w:p>
    <w:p>
      <w:pPr>
        <w:pStyle w:val="BodyText"/>
        <w:spacing w:line="256" w:lineRule="auto" w:before="94"/>
        <w:ind w:left="116" w:right="104"/>
        <w:jc w:val="both"/>
      </w:pPr>
      <w:r>
        <w:rPr/>
        <w:br w:type="column"/>
      </w:r>
      <w:r>
        <w:rPr>
          <w:spacing w:val="-3"/>
        </w:rPr>
        <w:t>[</w:t>
      </w:r>
      <w:hyperlink w:history="true" w:anchor="_bookmark24">
        <w:r>
          <w:rPr>
            <w:color w:val="127EAD"/>
            <w:spacing w:val="-3"/>
          </w:rPr>
          <w:t>3</w:t>
        </w:r>
      </w:hyperlink>
      <w:r>
        <w:rPr>
          <w:spacing w:val="-3"/>
        </w:rPr>
        <w:t>]. </w:t>
      </w:r>
      <w:r>
        <w:rPr>
          <w:spacing w:val="-4"/>
        </w:rPr>
        <w:t>Although recognising </w:t>
      </w:r>
      <w:r>
        <w:rPr>
          <w:spacing w:val="-3"/>
        </w:rPr>
        <w:t>the </w:t>
      </w:r>
      <w:r>
        <w:rPr>
          <w:spacing w:val="-4"/>
        </w:rPr>
        <w:t>constellation </w:t>
      </w:r>
      <w:r>
        <w:rPr/>
        <w:t>of </w:t>
      </w:r>
      <w:r>
        <w:rPr>
          <w:spacing w:val="-4"/>
        </w:rPr>
        <w:t>undifferentiated symptoms</w:t>
      </w:r>
      <w:r>
        <w:rPr>
          <w:spacing w:val="-10"/>
        </w:rPr>
        <w:t> </w:t>
      </w:r>
      <w:r>
        <w:rPr/>
        <w:t>as</w:t>
      </w:r>
      <w:r>
        <w:rPr>
          <w:spacing w:val="-10"/>
        </w:rPr>
        <w:t> </w:t>
      </w:r>
      <w:r>
        <w:rPr>
          <w:spacing w:val="-4"/>
        </w:rPr>
        <w:t>possible</w:t>
      </w:r>
      <w:r>
        <w:rPr>
          <w:spacing w:val="-9"/>
        </w:rPr>
        <w:t> </w:t>
      </w:r>
      <w:r>
        <w:rPr>
          <w:spacing w:val="-3"/>
        </w:rPr>
        <w:t>POTS</w:t>
      </w:r>
      <w:r>
        <w:rPr>
          <w:spacing w:val="-10"/>
        </w:rPr>
        <w:t> </w:t>
      </w:r>
      <w:r>
        <w:rPr>
          <w:spacing w:val="-3"/>
        </w:rPr>
        <w:t>can</w:t>
      </w:r>
      <w:r>
        <w:rPr>
          <w:spacing w:val="-10"/>
        </w:rPr>
        <w:t> </w:t>
      </w:r>
      <w:r>
        <w:rPr/>
        <w:t>be</w:t>
      </w:r>
      <w:r>
        <w:rPr>
          <w:spacing w:val="-10"/>
        </w:rPr>
        <w:t> </w:t>
      </w:r>
      <w:r>
        <w:rPr>
          <w:spacing w:val="-4"/>
        </w:rPr>
        <w:t>challenging,</w:t>
      </w:r>
      <w:r>
        <w:rPr>
          <w:spacing w:val="-10"/>
        </w:rPr>
        <w:t> </w:t>
      </w:r>
      <w:r>
        <w:rPr>
          <w:spacing w:val="-4"/>
        </w:rPr>
        <w:t>questionnaires </w:t>
      </w:r>
      <w:r>
        <w:rPr>
          <w:spacing w:val="-3"/>
        </w:rPr>
        <w:t>such </w:t>
      </w:r>
      <w:r>
        <w:rPr/>
        <w:t>as </w:t>
      </w:r>
      <w:r>
        <w:rPr>
          <w:spacing w:val="-3"/>
        </w:rPr>
        <w:t>the </w:t>
      </w:r>
      <w:r>
        <w:rPr>
          <w:spacing w:val="-4"/>
        </w:rPr>
        <w:t>Malmö </w:t>
      </w:r>
      <w:r>
        <w:rPr>
          <w:spacing w:val="-3"/>
        </w:rPr>
        <w:t>POTS </w:t>
      </w:r>
      <w:r>
        <w:rPr>
          <w:spacing w:val="-4"/>
        </w:rPr>
        <w:t>symptom score </w:t>
      </w:r>
      <w:r>
        <w:rPr>
          <w:spacing w:val="-3"/>
        </w:rPr>
        <w:t>and </w:t>
      </w:r>
      <w:r>
        <w:rPr>
          <w:spacing w:val="-4"/>
        </w:rPr>
        <w:t>COMPASS-31 survey </w:t>
      </w:r>
      <w:r>
        <w:rPr>
          <w:spacing w:val="-3"/>
        </w:rPr>
        <w:t>can </w:t>
      </w:r>
      <w:r>
        <w:rPr>
          <w:spacing w:val="-4"/>
        </w:rPr>
        <w:t>assist [</w:t>
      </w:r>
      <w:hyperlink w:history="true" w:anchor="_bookmark50">
        <w:r>
          <w:rPr>
            <w:color w:val="127EAD"/>
            <w:spacing w:val="-4"/>
          </w:rPr>
          <w:t>33</w:t>
        </w:r>
      </w:hyperlink>
      <w:r>
        <w:rPr>
          <w:spacing w:val="-4"/>
        </w:rPr>
        <w:t>,</w:t>
      </w:r>
      <w:hyperlink w:history="true" w:anchor="_bookmark55">
        <w:r>
          <w:rPr>
            <w:color w:val="127EAD"/>
            <w:spacing w:val="-4"/>
          </w:rPr>
          <w:t>38</w:t>
        </w:r>
      </w:hyperlink>
      <w:r>
        <w:rPr>
          <w:spacing w:val="-4"/>
        </w:rPr>
        <w:t>]. </w:t>
      </w:r>
      <w:r>
        <w:rPr/>
        <w:t>A </w:t>
      </w:r>
      <w:r>
        <w:rPr>
          <w:spacing w:val="-4"/>
        </w:rPr>
        <w:t>10-minute active stand </w:t>
      </w:r>
      <w:r>
        <w:rPr>
          <w:spacing w:val="-3"/>
        </w:rPr>
        <w:t>test can </w:t>
      </w:r>
      <w:r>
        <w:rPr>
          <w:spacing w:val="-4"/>
        </w:rPr>
        <w:t>be undertaken </w:t>
      </w:r>
      <w:r>
        <w:rPr>
          <w:spacing w:val="-3"/>
        </w:rPr>
        <w:t>with </w:t>
      </w:r>
      <w:r>
        <w:rPr>
          <w:spacing w:val="-4"/>
        </w:rPr>
        <w:t>investigations </w:t>
      </w:r>
      <w:r>
        <w:rPr>
          <w:spacing w:val="-3"/>
        </w:rPr>
        <w:t>such </w:t>
      </w:r>
      <w:r>
        <w:rPr/>
        <w:t>as </w:t>
      </w:r>
      <w:r>
        <w:rPr>
          <w:spacing w:val="-3"/>
        </w:rPr>
        <w:t>full </w:t>
      </w:r>
      <w:r>
        <w:rPr>
          <w:spacing w:val="-4"/>
        </w:rPr>
        <w:t>blood count, elec- trolytes</w:t>
      </w:r>
      <w:r>
        <w:rPr>
          <w:spacing w:val="-13"/>
        </w:rPr>
        <w:t> </w:t>
      </w:r>
      <w:r>
        <w:rPr>
          <w:spacing w:val="-3"/>
        </w:rPr>
        <w:t>and</w:t>
      </w:r>
      <w:r>
        <w:rPr>
          <w:spacing w:val="-14"/>
        </w:rPr>
        <w:t> </w:t>
      </w:r>
      <w:r>
        <w:rPr>
          <w:spacing w:val="-4"/>
        </w:rPr>
        <w:t>renal</w:t>
      </w:r>
      <w:r>
        <w:rPr>
          <w:spacing w:val="-14"/>
        </w:rPr>
        <w:t> </w:t>
      </w:r>
      <w:r>
        <w:rPr>
          <w:spacing w:val="-4"/>
        </w:rPr>
        <w:t>function,</w:t>
      </w:r>
      <w:r>
        <w:rPr>
          <w:spacing w:val="-14"/>
        </w:rPr>
        <w:t> </w:t>
      </w:r>
      <w:r>
        <w:rPr>
          <w:spacing w:val="-4"/>
        </w:rPr>
        <w:t>thyroid</w:t>
      </w:r>
      <w:r>
        <w:rPr>
          <w:spacing w:val="-14"/>
        </w:rPr>
        <w:t> </w:t>
      </w:r>
      <w:r>
        <w:rPr>
          <w:spacing w:val="-4"/>
        </w:rPr>
        <w:t>function,</w:t>
      </w:r>
      <w:r>
        <w:rPr>
          <w:spacing w:val="-14"/>
        </w:rPr>
        <w:t> </w:t>
      </w:r>
      <w:r>
        <w:rPr>
          <w:spacing w:val="-4"/>
        </w:rPr>
        <w:t>vitamin</w:t>
      </w:r>
      <w:r>
        <w:rPr>
          <w:spacing w:val="-15"/>
        </w:rPr>
        <w:t> </w:t>
      </w:r>
      <w:r>
        <w:rPr/>
        <w:t>D,</w:t>
      </w:r>
      <w:r>
        <w:rPr>
          <w:spacing w:val="-13"/>
        </w:rPr>
        <w:t> </w:t>
      </w:r>
      <w:r>
        <w:rPr>
          <w:spacing w:val="-4"/>
        </w:rPr>
        <w:t>ferritin, morning cortisol, 12-lead electrocardiogram, </w:t>
      </w:r>
      <w:r>
        <w:rPr>
          <w:spacing w:val="-3"/>
        </w:rPr>
        <w:t>and </w:t>
      </w:r>
      <w:r>
        <w:rPr>
          <w:spacing w:val="-4"/>
        </w:rPr>
        <w:t>Holter moni- toring </w:t>
      </w:r>
      <w:r>
        <w:rPr/>
        <w:t>to </w:t>
      </w:r>
      <w:r>
        <w:rPr>
          <w:spacing w:val="-4"/>
        </w:rPr>
        <w:t>exclude other diagnoses. Referral </w:t>
      </w:r>
      <w:r>
        <w:rPr>
          <w:spacing w:val="-3"/>
        </w:rPr>
        <w:t>for </w:t>
      </w:r>
      <w:r>
        <w:rPr>
          <w:spacing w:val="-4"/>
        </w:rPr>
        <w:t>further </w:t>
      </w:r>
      <w:r>
        <w:rPr>
          <w:spacing w:val="-3"/>
        </w:rPr>
        <w:t>in- </w:t>
      </w:r>
      <w:r>
        <w:rPr>
          <w:spacing w:val="-4"/>
        </w:rPr>
        <w:t>vestigations </w:t>
      </w:r>
      <w:r>
        <w:rPr>
          <w:spacing w:val="-3"/>
        </w:rPr>
        <w:t>and </w:t>
      </w:r>
      <w:r>
        <w:rPr>
          <w:spacing w:val="-4"/>
        </w:rPr>
        <w:t>specialist </w:t>
      </w:r>
      <w:r>
        <w:rPr>
          <w:spacing w:val="-3"/>
        </w:rPr>
        <w:t>care may </w:t>
      </w:r>
      <w:r>
        <w:rPr/>
        <w:t>be </w:t>
      </w:r>
      <w:r>
        <w:rPr>
          <w:spacing w:val="-4"/>
        </w:rPr>
        <w:t>necessary </w:t>
      </w:r>
      <w:r>
        <w:rPr>
          <w:spacing w:val="-3"/>
        </w:rPr>
        <w:t>when </w:t>
      </w:r>
      <w:r>
        <w:rPr>
          <w:spacing w:val="-4"/>
        </w:rPr>
        <w:t>the diagnosis remains</w:t>
      </w:r>
      <w:r>
        <w:rPr>
          <w:spacing w:val="-5"/>
        </w:rPr>
        <w:t> </w:t>
      </w:r>
      <w:r>
        <w:rPr>
          <w:spacing w:val="-4"/>
        </w:rPr>
        <w:t>unclear.</w:t>
      </w:r>
    </w:p>
    <w:p>
      <w:pPr>
        <w:pStyle w:val="BodyText"/>
        <w:spacing w:line="256" w:lineRule="auto"/>
        <w:ind w:left="116" w:right="104" w:firstLine="180"/>
        <w:jc w:val="both"/>
      </w:pPr>
      <w:r>
        <w:rPr/>
        <w:t>GPs can initiate treatment by educating individuals with POTS to avoid triggers and implement lifestyle measures. Patients can also be directed to online resources from various POTS advocacy organisations and a directory of local healthcare providers with interest in managing this condition. Where non-pharmacologic measures do not provide sufficient symptom improvement, drugs should be initiated in primary care. All drugs for POTS are off label, although they have permitted indications for other condi- tions. Although some drugs are not usually initiated in primary care, especially in younger people or children, a shared care arrangement may be necessary. Because POTS mostly affects women of reproductive age, the safety of many POTS drugs in pregnancy and breastfeeding remains uncertain, whereas ivabradine is contraindicated [</w:t>
      </w:r>
      <w:hyperlink w:history="true" w:anchor="_bookmark128">
        <w:r>
          <w:rPr>
            <w:color w:val="127EAD"/>
          </w:rPr>
          <w:t>117</w:t>
        </w:r>
      </w:hyperlink>
      <w:r>
        <w:rPr/>
        <w:t>]. Contraception should be recommended where appropriate and, where possible, a trial off pharmacological agents or reduction or substitution in treatment before conception should be initiated [</w:t>
      </w:r>
      <w:hyperlink w:history="true" w:anchor="_bookmark129">
        <w:r>
          <w:rPr>
            <w:color w:val="127EAD"/>
          </w:rPr>
          <w:t>118</w:t>
        </w:r>
      </w:hyperlink>
      <w:r>
        <w:rPr/>
        <w:t>]. It is common that people with POTS are unable to work or attend school, and GPs often need to advocate for their patients to enable better support in these environments and availability of benefits. GPs play a central role in coordinating care for their patients with POTS because the multisystem nature of autonomic dysfunction often requires input from several medical and allied health specialists. Leveraging practice nurses and nurse practitioners, as seen in heart failure care, may reduce assessment burden and support sustained primary care coordination. These professionals are well placed to assist</w:t>
      </w:r>
      <w:r>
        <w:rPr>
          <w:spacing w:val="-18"/>
        </w:rPr>
        <w:t> </w:t>
      </w:r>
      <w:r>
        <w:rPr/>
        <w:t>in symptom monitoring and perform active stand tests to assess</w:t>
      </w:r>
      <w:r>
        <w:rPr>
          <w:spacing w:val="-5"/>
        </w:rPr>
        <w:t> </w:t>
      </w:r>
      <w:r>
        <w:rPr/>
        <w:t>response</w:t>
      </w:r>
      <w:r>
        <w:rPr>
          <w:spacing w:val="-6"/>
        </w:rPr>
        <w:t> </w:t>
      </w:r>
      <w:r>
        <w:rPr/>
        <w:t>to</w:t>
      </w:r>
      <w:r>
        <w:rPr>
          <w:spacing w:val="-5"/>
        </w:rPr>
        <w:t> </w:t>
      </w:r>
      <w:r>
        <w:rPr/>
        <w:t>treatment</w:t>
      </w:r>
      <w:r>
        <w:rPr>
          <w:spacing w:val="-6"/>
        </w:rPr>
        <w:t> </w:t>
      </w:r>
      <w:r>
        <w:rPr/>
        <w:t>and</w:t>
      </w:r>
      <w:r>
        <w:rPr>
          <w:spacing w:val="-6"/>
        </w:rPr>
        <w:t> </w:t>
      </w:r>
      <w:r>
        <w:rPr/>
        <w:t>inform</w:t>
      </w:r>
      <w:r>
        <w:rPr>
          <w:spacing w:val="-6"/>
        </w:rPr>
        <w:t> </w:t>
      </w:r>
      <w:r>
        <w:rPr/>
        <w:t>individualised</w:t>
      </w:r>
      <w:r>
        <w:rPr>
          <w:spacing w:val="-6"/>
        </w:rPr>
        <w:t> </w:t>
      </w:r>
      <w:r>
        <w:rPr/>
        <w:t>care.</w:t>
      </w:r>
    </w:p>
    <w:p>
      <w:pPr>
        <w:pStyle w:val="BodyText"/>
        <w:spacing w:before="7"/>
        <w:rPr>
          <w:sz w:val="23"/>
        </w:rPr>
      </w:pPr>
    </w:p>
    <w:p>
      <w:pPr>
        <w:pStyle w:val="Heading2"/>
        <w:spacing w:line="278" w:lineRule="exact"/>
        <w:ind w:left="117" w:right="40"/>
        <w:jc w:val="left"/>
      </w:pPr>
      <w:r>
        <w:rPr>
          <w:color w:val="0093D6"/>
        </w:rPr>
        <w:t>Patient Experiences and Advocacy in POTS</w:t>
      </w:r>
    </w:p>
    <w:p>
      <w:pPr>
        <w:pStyle w:val="BodyText"/>
        <w:spacing w:line="256" w:lineRule="auto" w:before="50"/>
        <w:ind w:left="117" w:right="103"/>
        <w:jc w:val="both"/>
      </w:pPr>
      <w:r>
        <w:rPr/>
        <w:t>Those with POTS usually live with several coexisting medical conditions, which compound the complexity of their care and amplify the physical, emotional, and logis- tical burden of their illness [</w:t>
      </w:r>
      <w:hyperlink w:history="true" w:anchor="_bookmark29">
        <w:r>
          <w:rPr>
            <w:color w:val="127EAD"/>
          </w:rPr>
          <w:t>8</w:t>
        </w:r>
      </w:hyperlink>
      <w:r>
        <w:rPr/>
        <w:t>]. Women are disproportion- ately affected, with significantly higher rates of clinician diagnosed iron deficiency, migraine, joint hypermobility, and irritable bowel syndrome than men with POTS [</w:t>
      </w:r>
      <w:hyperlink w:history="true" w:anchor="_bookmark30">
        <w:r>
          <w:rPr>
            <w:color w:val="127EAD"/>
          </w:rPr>
          <w:t>9</w:t>
        </w:r>
      </w:hyperlink>
      <w:r>
        <w:rPr/>
        <w:t>]. This clustering of immune, connective tissue, and autonomic dysfunction suggests overlapping pathophysiology and yet patients often navigate fragmented care, without coordi- nation    across    specialties.    The    coexistence    of several</w:t>
      </w:r>
    </w:p>
    <w:p>
      <w:pPr>
        <w:spacing w:after="0" w:line="256" w:lineRule="auto"/>
        <w:jc w:val="both"/>
        <w:sectPr>
          <w:type w:val="continuous"/>
          <w:pgSz w:w="11910" w:h="15880"/>
          <w:pgMar w:top="660" w:bottom="280" w:left="840" w:right="780"/>
          <w:cols w:num="2" w:equalWidth="0">
            <w:col w:w="5153" w:space="126"/>
            <w:col w:w="5011"/>
          </w:cols>
        </w:sectPr>
      </w:pPr>
    </w:p>
    <w:p>
      <w:pPr>
        <w:pStyle w:val="BodyText"/>
        <w:spacing w:before="8"/>
        <w:rPr>
          <w:sz w:val="25"/>
        </w:rPr>
      </w:pPr>
    </w:p>
    <w:p>
      <w:pPr>
        <w:spacing w:after="0"/>
        <w:rPr>
          <w:sz w:val="25"/>
        </w:rPr>
        <w:sectPr>
          <w:pgSz w:w="11910" w:h="15880"/>
          <w:pgMar w:header="471" w:footer="0" w:top="840" w:bottom="280" w:left="780" w:right="840"/>
        </w:sectPr>
      </w:pPr>
    </w:p>
    <w:p>
      <w:pPr>
        <w:pStyle w:val="BodyText"/>
        <w:spacing w:line="256" w:lineRule="auto" w:before="93"/>
        <w:ind w:left="106" w:right="251"/>
        <w:jc w:val="both"/>
      </w:pPr>
      <w:r>
        <w:rPr/>
        <w:drawing>
          <wp:anchor distT="0" distB="0" distL="0" distR="0" allowOverlap="1" layoutInCell="1" locked="0" behindDoc="0" simplePos="0" relativeHeight="1648">
            <wp:simplePos x="0" y="0"/>
            <wp:positionH relativeFrom="page">
              <wp:posOffset>3748455</wp:posOffset>
            </wp:positionH>
            <wp:positionV relativeFrom="page">
              <wp:posOffset>834961</wp:posOffset>
            </wp:positionV>
            <wp:extent cx="12649" cy="8587379"/>
            <wp:effectExtent l="0" t="0" r="0" b="0"/>
            <wp:wrapNone/>
            <wp:docPr id="23" name="image25.png" descr=""/>
            <wp:cNvGraphicFramePr>
              <a:graphicFrameLocks noChangeAspect="1"/>
            </wp:cNvGraphicFramePr>
            <a:graphic>
              <a:graphicData uri="http://schemas.openxmlformats.org/drawingml/2006/picture">
                <pic:pic>
                  <pic:nvPicPr>
                    <pic:cNvPr id="24" name="image25.png"/>
                    <pic:cNvPicPr/>
                  </pic:nvPicPr>
                  <pic:blipFill>
                    <a:blip r:embed="rId35" cstate="print"/>
                    <a:stretch>
                      <a:fillRect/>
                    </a:stretch>
                  </pic:blipFill>
                  <pic:spPr>
                    <a:xfrm>
                      <a:off x="0" y="0"/>
                      <a:ext cx="12649" cy="8587379"/>
                    </a:xfrm>
                    <a:prstGeom prst="rect">
                      <a:avLst/>
                    </a:prstGeom>
                  </pic:spPr>
                </pic:pic>
              </a:graphicData>
            </a:graphic>
          </wp:anchor>
        </w:drawing>
      </w:r>
      <w:bookmarkStart w:name="Conclusions" w:id="43"/>
      <w:bookmarkEnd w:id="43"/>
      <w:r>
        <w:rPr/>
      </w:r>
      <w:bookmarkStart w:name="Funding Sources" w:id="44"/>
      <w:bookmarkEnd w:id="44"/>
      <w:r>
        <w:rPr/>
      </w:r>
      <w:bookmarkStart w:name="Author ContributionsD.H.L.: conceptualis" w:id="45"/>
      <w:bookmarkEnd w:id="45"/>
      <w:r>
        <w:rPr/>
      </w:r>
      <w:bookmarkStart w:name="Author Contributions" w:id="46"/>
      <w:bookmarkEnd w:id="46"/>
      <w:r>
        <w:rPr/>
      </w:r>
      <w:r>
        <w:rPr/>
        <w:t>“invisible” disorders contributes to profound functional disability, with high rates of unemployment and social withdrawal [</w:t>
      </w:r>
      <w:hyperlink w:history="true" w:anchor="_bookmark29">
        <w:r>
          <w:rPr>
            <w:color w:val="127EAD"/>
          </w:rPr>
          <w:t>8</w:t>
        </w:r>
      </w:hyperlink>
      <w:r>
        <w:rPr/>
        <w:t>].</w:t>
      </w:r>
    </w:p>
    <w:p>
      <w:pPr>
        <w:pStyle w:val="BodyText"/>
        <w:spacing w:line="256" w:lineRule="auto"/>
        <w:ind w:left="106" w:right="252" w:firstLine="179"/>
        <w:jc w:val="both"/>
      </w:pPr>
      <w:r>
        <w:rPr/>
        <w:t>Clinicians should be aware that the diagnostic journey for people with POTS is often long, distressing, and marked by frequent misattribution of symptoms to psychological cau- ses [</w:t>
      </w:r>
      <w:hyperlink w:history="true" w:anchor="_bookmark30">
        <w:r>
          <w:rPr>
            <w:color w:val="127EAD"/>
          </w:rPr>
          <w:t>9</w:t>
        </w:r>
      </w:hyperlink>
      <w:r>
        <w:rPr/>
        <w:t>,</w:t>
      </w:r>
      <w:hyperlink w:history="true" w:anchor="_bookmark31">
        <w:r>
          <w:rPr>
            <w:color w:val="127EAD"/>
          </w:rPr>
          <w:t>10</w:t>
        </w:r>
      </w:hyperlink>
      <w:r>
        <w:rPr/>
        <w:t>,</w:t>
      </w:r>
      <w:hyperlink w:history="true" w:anchor="_bookmark130">
        <w:r>
          <w:rPr>
            <w:color w:val="127EAD"/>
          </w:rPr>
          <w:t>119</w:t>
        </w:r>
      </w:hyperlink>
      <w:r>
        <w:rPr/>
        <w:t>]. Australians with POTS face some of the longest diagnostic delays worldwide, averaging 6.7 years [</w:t>
      </w:r>
      <w:hyperlink w:history="true" w:anchor="_bookmark30">
        <w:r>
          <w:rPr>
            <w:color w:val="127EAD"/>
          </w:rPr>
          <w:t>9</w:t>
        </w:r>
      </w:hyperlink>
      <w:r>
        <w:rPr/>
        <w:t>,</w:t>
      </w:r>
      <w:hyperlink w:history="true" w:anchor="_bookmark31">
        <w:r>
          <w:rPr>
            <w:color w:val="127EAD"/>
          </w:rPr>
          <w:t>10</w:t>
        </w:r>
      </w:hyperlink>
      <w:r>
        <w:rPr/>
        <w:t>]. More than half present to emergency departments several times before diagnosis and often undergo extensive and low-yield repeated testings [</w:t>
      </w:r>
      <w:hyperlink w:history="true" w:anchor="_bookmark30">
        <w:r>
          <w:rPr>
            <w:color w:val="127EAD"/>
          </w:rPr>
          <w:t>9</w:t>
        </w:r>
      </w:hyperlink>
      <w:r>
        <w:rPr/>
        <w:t>]. Sex-dependent differ- ences in diagnostic experiences are particularly marked: women experience nearly double the diagnostic delay of men (7.0 vs 3.8 years), are 2.6 times more probable to be placed on a mental healthcare plan, and are significantly more probable to have their symptoms attributed to anxiety [</w:t>
      </w:r>
      <w:hyperlink w:history="true" w:anchor="_bookmark30">
        <w:r>
          <w:rPr>
            <w:color w:val="127EAD"/>
          </w:rPr>
          <w:t>9</w:t>
        </w:r>
      </w:hyperlink>
      <w:r>
        <w:rPr/>
        <w:t>]. Notably, women demonstrate equivalent health-seeking behaviours and similar anxiety rates to men, suggesting a clinician-driven rather than patient-driven influence on diagnostic inequity [</w:t>
      </w:r>
      <w:hyperlink w:history="true" w:anchor="_bookmark30">
        <w:r>
          <w:rPr>
            <w:color w:val="127EAD"/>
          </w:rPr>
          <w:t>9</w:t>
        </w:r>
      </w:hyperlink>
      <w:r>
        <w:rPr/>
        <w:t>]. Persistent scepticism and lack of education among clinicians, along with limited access to formal haemodynamic testing, may all contribute signifi- cantly to the diagnostic delay. Targeted interventions to improve clinician education with official care pathways are necessary to reduce acute care presentations and diagnostic delay.</w:t>
      </w:r>
    </w:p>
    <w:p>
      <w:pPr>
        <w:pStyle w:val="BodyText"/>
        <w:spacing w:line="256" w:lineRule="auto"/>
        <w:ind w:left="106" w:right="252" w:firstLine="179"/>
        <w:jc w:val="both"/>
      </w:pPr>
      <w:r>
        <w:rPr/>
        <w:t>International investment in research on POTS remains critically underdeveloped, with no dedicated funding to date from Australia’s major funding bodies [</w:t>
      </w:r>
      <w:hyperlink w:history="true" w:anchor="_bookmark60">
        <w:r>
          <w:rPr>
            <w:color w:val="127EAD"/>
          </w:rPr>
          <w:t>43</w:t>
        </w:r>
      </w:hyperlink>
      <w:r>
        <w:rPr/>
        <w:t>,</w:t>
      </w:r>
      <w:hyperlink w:history="true" w:anchor="_bookmark131">
        <w:r>
          <w:rPr>
            <w:color w:val="127EAD"/>
          </w:rPr>
          <w:t>120</w:t>
        </w:r>
      </w:hyperlink>
      <w:r>
        <w:rPr/>
        <w:t>]. Addi- tionally, the economic effect of POTS is substantial. In a </w:t>
      </w:r>
      <w:r>
        <w:rPr>
          <w:w w:val="99"/>
        </w:rPr>
        <w:t>national</w:t>
      </w:r>
      <w:r>
        <w:rPr/>
        <w:t>  </w:t>
      </w:r>
      <w:r>
        <w:rPr>
          <w:spacing w:val="1"/>
        </w:rPr>
        <w:t> </w:t>
      </w:r>
      <w:r>
        <w:rPr>
          <w:w w:val="99"/>
        </w:rPr>
        <w:t>survey</w:t>
      </w:r>
      <w:r>
        <w:rPr/>
        <w:t>  </w:t>
      </w:r>
      <w:r>
        <w:rPr>
          <w:spacing w:val="2"/>
        </w:rPr>
        <w:t> </w:t>
      </w:r>
      <w:r>
        <w:rPr>
          <w:w w:val="99"/>
        </w:rPr>
        <w:t>(n</w:t>
      </w:r>
      <w:r>
        <w:rPr>
          <w:rFonts w:ascii="Lucida Sans" w:hAnsi="Lucida Sans"/>
          <w:w w:val="262"/>
        </w:rPr>
        <w:t>.</w:t>
      </w:r>
      <w:r>
        <w:rPr>
          <w:w w:val="99"/>
        </w:rPr>
        <w:t>600),</w:t>
      </w:r>
      <w:r>
        <w:rPr/>
        <w:t>  </w:t>
      </w:r>
      <w:r>
        <w:rPr>
          <w:spacing w:val="1"/>
        </w:rPr>
        <w:t> </w:t>
      </w:r>
      <w:r>
        <w:rPr>
          <w:w w:val="99"/>
        </w:rPr>
        <w:t>58%</w:t>
      </w:r>
      <w:r>
        <w:rPr/>
        <w:t>  </w:t>
      </w:r>
      <w:r>
        <w:rPr>
          <w:spacing w:val="2"/>
        </w:rPr>
        <w:t> </w:t>
      </w:r>
      <w:r>
        <w:rPr>
          <w:w w:val="99"/>
        </w:rPr>
        <w:t>of</w:t>
      </w:r>
      <w:r>
        <w:rPr/>
        <w:t>  </w:t>
      </w:r>
      <w:r>
        <w:rPr>
          <w:spacing w:val="2"/>
        </w:rPr>
        <w:t> </w:t>
      </w:r>
      <w:r>
        <w:rPr>
          <w:w w:val="99"/>
        </w:rPr>
        <w:t>individuals</w:t>
      </w:r>
      <w:r>
        <w:rPr/>
        <w:t>  </w:t>
      </w:r>
      <w:r>
        <w:rPr>
          <w:spacing w:val="1"/>
        </w:rPr>
        <w:t> </w:t>
      </w:r>
      <w:r>
        <w:rPr>
          <w:w w:val="99"/>
        </w:rPr>
        <w:t>reported </w:t>
      </w:r>
      <w:r>
        <w:rPr/>
        <w:t>permanently leaving employment or education due to symptoms, 56% borrowed money for treatments not covered by the Pharmaceutical Benefit Schemes, over half earned less than the minimum wage, and 8% had a family member cease paid employment to provide care [</w:t>
      </w:r>
      <w:hyperlink w:history="true" w:anchor="_bookmark132">
        <w:r>
          <w:rPr>
            <w:color w:val="127EAD"/>
          </w:rPr>
          <w:t>121</w:t>
        </w:r>
      </w:hyperlink>
      <w:r>
        <w:rPr/>
        <w:t>]. Availability</w:t>
      </w:r>
      <w:r>
        <w:rPr>
          <w:spacing w:val="-5"/>
        </w:rPr>
        <w:t> </w:t>
      </w:r>
      <w:r>
        <w:rPr/>
        <w:t>of</w:t>
      </w:r>
      <w:r>
        <w:rPr>
          <w:spacing w:val="-6"/>
        </w:rPr>
        <w:t> </w:t>
      </w:r>
      <w:r>
        <w:rPr/>
        <w:t>care</w:t>
      </w:r>
      <w:r>
        <w:rPr>
          <w:spacing w:val="-5"/>
        </w:rPr>
        <w:t> </w:t>
      </w:r>
      <w:r>
        <w:rPr/>
        <w:t>also</w:t>
      </w:r>
      <w:r>
        <w:rPr>
          <w:spacing w:val="-6"/>
        </w:rPr>
        <w:t> </w:t>
      </w:r>
      <w:r>
        <w:rPr/>
        <w:t>remains</w:t>
      </w:r>
      <w:r>
        <w:rPr>
          <w:spacing w:val="-4"/>
        </w:rPr>
        <w:t> </w:t>
      </w:r>
      <w:r>
        <w:rPr/>
        <w:t>a</w:t>
      </w:r>
      <w:r>
        <w:rPr>
          <w:spacing w:val="-6"/>
        </w:rPr>
        <w:t> </w:t>
      </w:r>
      <w:r>
        <w:rPr/>
        <w:t>major</w:t>
      </w:r>
      <w:r>
        <w:rPr>
          <w:spacing w:val="-5"/>
        </w:rPr>
        <w:t> </w:t>
      </w:r>
      <w:r>
        <w:rPr/>
        <w:t>barrier,</w:t>
      </w:r>
      <w:r>
        <w:rPr>
          <w:spacing w:val="-6"/>
        </w:rPr>
        <w:t> </w:t>
      </w:r>
      <w:r>
        <w:rPr/>
        <w:t>with</w:t>
      </w:r>
      <w:r>
        <w:rPr>
          <w:spacing w:val="-5"/>
        </w:rPr>
        <w:t> </w:t>
      </w:r>
      <w:r>
        <w:rPr/>
        <w:t>67%</w:t>
      </w:r>
      <w:r>
        <w:rPr>
          <w:spacing w:val="-6"/>
        </w:rPr>
        <w:t> </w:t>
      </w:r>
      <w:r>
        <w:rPr/>
        <w:t>of those with long-COVID POTS reported difficulty obtaining appropriate care, and 69% had to raise POTS as a diagnostic possibility to their treating clinician [</w:t>
      </w:r>
      <w:hyperlink w:history="true" w:anchor="_bookmark33">
        <w:r>
          <w:rPr>
            <w:color w:val="127EAD"/>
          </w:rPr>
          <w:t>12</w:t>
        </w:r>
      </w:hyperlink>
      <w:r>
        <w:rPr/>
        <w:t>]. This lack of</w:t>
      </w:r>
      <w:r>
        <w:rPr>
          <w:spacing w:val="-9"/>
        </w:rPr>
        <w:t> </w:t>
      </w:r>
      <w:r>
        <w:rPr/>
        <w:t>clinical recognition probably contributes to the broader underdi- agnosis of POTS, particularly, in overlapping invisible ill- nesses where POTS remains unrecognised and untreated. In conditions such as long-COVID, fibromyalgia, myalgic encephalomyelitis/chronic fatigue syndrome, and joint hypermobility syndromes, untreated POTS can lead to progressive functional decline, prolonged disability, and substantial economic burden [</w:t>
      </w:r>
      <w:hyperlink w:history="true" w:anchor="_bookmark32">
        <w:r>
          <w:rPr>
            <w:color w:val="127EAD"/>
          </w:rPr>
          <w:t>11</w:t>
        </w:r>
      </w:hyperlink>
      <w:r>
        <w:rPr/>
        <w:t>,</w:t>
      </w:r>
      <w:hyperlink w:history="true" w:anchor="_bookmark133">
        <w:r>
          <w:rPr>
            <w:color w:val="127EAD"/>
          </w:rPr>
          <w:t>122–124</w:t>
        </w:r>
      </w:hyperlink>
      <w:r>
        <w:rPr/>
        <w:t>]. Systemic reform is essential to further improve access to multidisciplinary POTS care. Rehabilitation programs should be adapted to meet the needs of those with POTS—often young in- dividuals without cardiac risk factors—who experience orthostatic</w:t>
      </w:r>
      <w:r>
        <w:rPr>
          <w:spacing w:val="-7"/>
        </w:rPr>
        <w:t> </w:t>
      </w:r>
      <w:r>
        <w:rPr/>
        <w:t>intolerance,</w:t>
      </w:r>
      <w:r>
        <w:rPr>
          <w:spacing w:val="-8"/>
        </w:rPr>
        <w:t> </w:t>
      </w:r>
      <w:r>
        <w:rPr/>
        <w:t>cognitive</w:t>
      </w:r>
      <w:r>
        <w:rPr>
          <w:spacing w:val="-7"/>
        </w:rPr>
        <w:t> </w:t>
      </w:r>
      <w:r>
        <w:rPr/>
        <w:t>impairment</w:t>
      </w:r>
      <w:r>
        <w:rPr>
          <w:spacing w:val="-8"/>
        </w:rPr>
        <w:t> </w:t>
      </w:r>
      <w:r>
        <w:rPr/>
        <w:t>due</w:t>
      </w:r>
      <w:r>
        <w:rPr>
          <w:spacing w:val="-6"/>
        </w:rPr>
        <w:t> </w:t>
      </w:r>
      <w:r>
        <w:rPr/>
        <w:t>to</w:t>
      </w:r>
      <w:r>
        <w:rPr>
          <w:spacing w:val="-8"/>
        </w:rPr>
        <w:t> </w:t>
      </w:r>
      <w:r>
        <w:rPr/>
        <w:t>cerebral hypoperfusion and progressive functional decline. Finally, embedding lived experience into care design and workforce training is critical to ensuring services are accessible, responsive,    and    relevant.    Best    practice   </w:t>
      </w:r>
      <w:r>
        <w:rPr>
          <w:spacing w:val="38"/>
        </w:rPr>
        <w:t> </w:t>
      </w:r>
      <w:r>
        <w:rPr/>
        <w:t>engagement</w:t>
      </w:r>
    </w:p>
    <w:p>
      <w:pPr>
        <w:pStyle w:val="BodyText"/>
        <w:spacing w:line="256" w:lineRule="auto" w:before="93"/>
        <w:ind w:left="106" w:right="116"/>
        <w:jc w:val="both"/>
      </w:pPr>
      <w:r>
        <w:rPr/>
        <w:br w:type="column"/>
      </w:r>
      <w:r>
        <w:rPr/>
        <w:t>frameworks, codesigned by those with lived experience of POTS, are available through the Australian POTS Founda- tion Lived Experience Framework [</w:t>
      </w:r>
      <w:hyperlink w:history="true" w:anchor="_bookmark134">
        <w:r>
          <w:rPr>
            <w:color w:val="127EAD"/>
          </w:rPr>
          <w:t>125</w:t>
        </w:r>
      </w:hyperlink>
      <w:r>
        <w:rPr/>
        <w:t>].</w:t>
      </w:r>
    </w:p>
    <w:p>
      <w:pPr>
        <w:pStyle w:val="BodyText"/>
        <w:spacing w:before="8"/>
        <w:rPr>
          <w:sz w:val="21"/>
        </w:rPr>
      </w:pPr>
    </w:p>
    <w:p>
      <w:pPr>
        <w:pStyle w:val="Heading1"/>
      </w:pPr>
      <w:r>
        <w:rPr>
          <w:color w:val="E53527"/>
        </w:rPr>
        <w:t>Conclusions</w:t>
      </w:r>
    </w:p>
    <w:p>
      <w:pPr>
        <w:pStyle w:val="BodyText"/>
        <w:spacing w:line="256" w:lineRule="auto" w:before="106"/>
        <w:ind w:left="106" w:right="114"/>
        <w:jc w:val="both"/>
      </w:pPr>
      <w:r>
        <w:rPr/>
        <w:t>POTS is a complex condition, and, despite established diagnostic criteria, significant diagnostic delays exist worldwide. The effect of POTS includes disability, frequent societal and economic withdrawal, and poor health-related quality of life. As a dominant phenotype in long-COVID, the prevalence of this condition will continue  to  grow,  with most healthcare professionals likely to encounter such individuals due to the broad symptom burden often observed in this population. Much work is needed to improve recognition of POTS, supported by dedicated research funding, ensuring equitable access to vital POTS drugs, multidisciplinary care, specialised rehabilitation ser- vices, and disability support to meet the needs of this growing</w:t>
      </w:r>
      <w:r>
        <w:rPr>
          <w:spacing w:val="7"/>
        </w:rPr>
        <w:t> </w:t>
      </w:r>
      <w:r>
        <w:rPr/>
        <w:t>population.</w:t>
      </w:r>
    </w:p>
    <w:p>
      <w:pPr>
        <w:pStyle w:val="BodyText"/>
        <w:spacing w:before="5"/>
        <w:rPr>
          <w:sz w:val="26"/>
        </w:rPr>
      </w:pPr>
    </w:p>
    <w:p>
      <w:pPr>
        <w:pStyle w:val="Heading1"/>
      </w:pPr>
      <w:r>
        <w:rPr>
          <w:color w:val="E53527"/>
        </w:rPr>
        <w:t>Funding Sources</w:t>
      </w:r>
    </w:p>
    <w:p>
      <w:pPr>
        <w:pStyle w:val="BodyText"/>
        <w:spacing w:line="256" w:lineRule="auto" w:before="106"/>
        <w:ind w:left="106" w:right="114"/>
        <w:jc w:val="both"/>
      </w:pPr>
      <w:r>
        <w:rPr/>
        <w:t>This research did not receive any specific grant from fund- ing agencies in the public, commercial, or not-for-profit sectors.</w:t>
      </w:r>
    </w:p>
    <w:p>
      <w:pPr>
        <w:pStyle w:val="BodyText"/>
        <w:spacing w:before="6"/>
        <w:rPr>
          <w:sz w:val="25"/>
        </w:rPr>
      </w:pPr>
    </w:p>
    <w:p>
      <w:pPr>
        <w:pStyle w:val="Heading1"/>
      </w:pPr>
      <w:r>
        <w:rPr>
          <w:color w:val="E53527"/>
          <w:spacing w:val="-4"/>
        </w:rPr>
        <w:t>Declaration </w:t>
      </w:r>
      <w:r>
        <w:rPr>
          <w:color w:val="E53527"/>
        </w:rPr>
        <w:t>of </w:t>
      </w:r>
      <w:r>
        <w:rPr>
          <w:color w:val="E53527"/>
          <w:spacing w:val="-4"/>
        </w:rPr>
        <w:t>Competing</w:t>
      </w:r>
      <w:r>
        <w:rPr>
          <w:color w:val="E53527"/>
          <w:spacing w:val="50"/>
        </w:rPr>
        <w:t> </w:t>
      </w:r>
      <w:r>
        <w:rPr>
          <w:color w:val="E53527"/>
          <w:spacing w:val="-4"/>
        </w:rPr>
        <w:t>Interests</w:t>
      </w:r>
    </w:p>
    <w:p>
      <w:pPr>
        <w:pStyle w:val="BodyText"/>
        <w:spacing w:line="254" w:lineRule="auto" w:before="107"/>
        <w:ind w:left="106" w:right="114"/>
        <w:jc w:val="both"/>
      </w:pPr>
      <w:r>
        <w:rPr/>
        <w:t>D.H.L.</w:t>
      </w:r>
      <w:r>
        <w:rPr>
          <w:spacing w:val="-6"/>
        </w:rPr>
        <w:t> </w:t>
      </w:r>
      <w:r>
        <w:rPr/>
        <w:t>reports</w:t>
      </w:r>
      <w:r>
        <w:rPr>
          <w:spacing w:val="-6"/>
        </w:rPr>
        <w:t> </w:t>
      </w:r>
      <w:r>
        <w:rPr/>
        <w:t>receiving</w:t>
      </w:r>
      <w:r>
        <w:rPr>
          <w:spacing w:val="-5"/>
        </w:rPr>
        <w:t> </w:t>
      </w:r>
      <w:r>
        <w:rPr/>
        <w:t>lecture</w:t>
      </w:r>
      <w:r>
        <w:rPr>
          <w:spacing w:val="-6"/>
        </w:rPr>
        <w:t> </w:t>
      </w:r>
      <w:r>
        <w:rPr/>
        <w:t>and/or</w:t>
      </w:r>
      <w:r>
        <w:rPr>
          <w:spacing w:val="-6"/>
        </w:rPr>
        <w:t> </w:t>
      </w:r>
      <w:r>
        <w:rPr/>
        <w:t>consulting</w:t>
      </w:r>
      <w:r>
        <w:rPr>
          <w:spacing w:val="-5"/>
        </w:rPr>
        <w:t> </w:t>
      </w:r>
      <w:r>
        <w:rPr/>
        <w:t>fees</w:t>
      </w:r>
      <w:r>
        <w:rPr>
          <w:spacing w:val="-6"/>
        </w:rPr>
        <w:t> </w:t>
      </w:r>
      <w:r>
        <w:rPr/>
        <w:t>from Abbott Medical, Biotronik, Medtronic, and MicroPort</w:t>
      </w:r>
      <w:r>
        <w:rPr>
          <w:spacing w:val="24"/>
        </w:rPr>
        <w:t> </w:t>
      </w:r>
      <w:r>
        <w:rPr/>
        <w:t>CRM.</w:t>
      </w:r>
    </w:p>
    <w:p>
      <w:pPr>
        <w:pStyle w:val="BodyText"/>
        <w:spacing w:line="256" w:lineRule="auto" w:before="2"/>
        <w:ind w:left="106" w:right="114"/>
        <w:jc w:val="both"/>
      </w:pPr>
      <w:r>
        <w:rPr/>
        <w:t>S.R.R. receives research support from the Vanderbilt Insti- tute for Clinical and Translational Research funded by a Clinical and Translational Science Award from the National Center for Advancing Translational Science from the Na- tional Institutes of Health (UL1 TR000445), Dysautonomia International (East Moriches, NY, USA), the Heart &amp; Stroke Foundation of Canada, and the Canerector Foundation (Toronto, Canada); is a consultant to Antag Pharma, Regeneron, Argenx BV, and STAT Health Informatics; and Associate Editor for Autonomic Neurosciences (Elsevier),</w:t>
      </w:r>
      <w:r>
        <w:rPr>
          <w:spacing w:val="-30"/>
        </w:rPr>
        <w:t> </w:t>
      </w:r>
      <w:r>
        <w:rPr/>
        <w:t>all with modest compensation. S.B. serves on the Executive Committee for CSL Behring, received honorarium for lec- tures on long-COVID, and serves as a non-paid member of the  NIH-RECOVER-TLC  Neurological  Agents</w:t>
      </w:r>
      <w:r>
        <w:rPr>
          <w:spacing w:val="-8"/>
        </w:rPr>
        <w:t> </w:t>
      </w:r>
      <w:r>
        <w:rPr/>
        <w:t>Committee.</w:t>
      </w:r>
    </w:p>
    <w:p>
      <w:pPr>
        <w:pStyle w:val="BodyText"/>
        <w:spacing w:line="256" w:lineRule="auto"/>
        <w:ind w:left="106" w:right="114"/>
        <w:jc w:val="both"/>
      </w:pPr>
      <w:r>
        <w:rPr/>
        <w:t>M.C.S. reports that the Australian POTS Foundation has received on her behalf consulting fees from Argenx. C.G. is supported by a research grant from the Australian POTS Foundation.</w:t>
      </w:r>
    </w:p>
    <w:p>
      <w:pPr>
        <w:pStyle w:val="BodyText"/>
        <w:spacing w:before="6"/>
        <w:rPr>
          <w:sz w:val="26"/>
        </w:rPr>
      </w:pPr>
    </w:p>
    <w:p>
      <w:pPr>
        <w:pStyle w:val="Heading1"/>
      </w:pPr>
      <w:r>
        <w:rPr>
          <w:color w:val="E53527"/>
        </w:rPr>
        <w:t>Author Contributions</w:t>
      </w:r>
    </w:p>
    <w:p>
      <w:pPr>
        <w:pStyle w:val="ListParagraph"/>
        <w:numPr>
          <w:ilvl w:val="2"/>
          <w:numId w:val="3"/>
        </w:numPr>
        <w:tabs>
          <w:tab w:pos="595" w:val="left" w:leader="none"/>
        </w:tabs>
        <w:spacing w:line="256" w:lineRule="auto" w:before="106" w:after="0"/>
        <w:ind w:left="106" w:right="114" w:firstLine="0"/>
        <w:jc w:val="both"/>
        <w:rPr>
          <w:sz w:val="18"/>
        </w:rPr>
      </w:pPr>
      <w:r>
        <w:rPr>
          <w:sz w:val="18"/>
        </w:rPr>
        <w:t>.: conceptualisation, method, data curation, writing- original draft preparation, writing-reviewing and editing; A.F.: writing-original draft preparation, writing-reviewing and   editing;   S.R.R.:   writing-original   draft  </w:t>
      </w:r>
      <w:r>
        <w:rPr>
          <w:spacing w:val="30"/>
          <w:sz w:val="18"/>
        </w:rPr>
        <w:t> </w:t>
      </w:r>
      <w:r>
        <w:rPr>
          <w:sz w:val="18"/>
        </w:rPr>
        <w:t>preparation,</w:t>
      </w:r>
    </w:p>
    <w:p>
      <w:pPr>
        <w:spacing w:after="0" w:line="256" w:lineRule="auto"/>
        <w:jc w:val="both"/>
        <w:rPr>
          <w:sz w:val="18"/>
        </w:rPr>
        <w:sectPr>
          <w:type w:val="continuous"/>
          <w:pgSz w:w="11910" w:h="15880"/>
          <w:pgMar w:top="660" w:bottom="280" w:left="780" w:right="840"/>
          <w:cols w:num="2" w:equalWidth="0">
            <w:col w:w="5143" w:space="137"/>
            <w:col w:w="5010"/>
          </w:cols>
        </w:sectPr>
      </w:pPr>
    </w:p>
    <w:p>
      <w:pPr>
        <w:pStyle w:val="BodyText"/>
        <w:spacing w:before="8"/>
        <w:rPr>
          <w:sz w:val="25"/>
        </w:rPr>
      </w:pPr>
    </w:p>
    <w:p>
      <w:pPr>
        <w:spacing w:after="0"/>
        <w:rPr>
          <w:sz w:val="25"/>
        </w:rPr>
        <w:sectPr>
          <w:pgSz w:w="11910" w:h="15880"/>
          <w:pgMar w:header="470" w:footer="0" w:top="840" w:bottom="280" w:left="840" w:right="780"/>
        </w:sectPr>
      </w:pPr>
    </w:p>
    <w:p>
      <w:pPr>
        <w:pStyle w:val="BodyText"/>
        <w:spacing w:line="256" w:lineRule="auto" w:before="94"/>
        <w:ind w:left="116" w:right="253"/>
        <w:jc w:val="both"/>
      </w:pPr>
      <w:r>
        <w:rPr/>
        <w:drawing>
          <wp:anchor distT="0" distB="0" distL="0" distR="0" allowOverlap="1" layoutInCell="1" locked="0" behindDoc="0" simplePos="0" relativeHeight="1672">
            <wp:simplePos x="0" y="0"/>
            <wp:positionH relativeFrom="page">
              <wp:posOffset>3792867</wp:posOffset>
            </wp:positionH>
            <wp:positionV relativeFrom="paragraph">
              <wp:posOffset>89306</wp:posOffset>
            </wp:positionV>
            <wp:extent cx="12649" cy="8373830"/>
            <wp:effectExtent l="0" t="0" r="0" b="0"/>
            <wp:wrapNone/>
            <wp:docPr id="25" name="image26.png" descr=""/>
            <wp:cNvGraphicFramePr>
              <a:graphicFrameLocks noChangeAspect="1"/>
            </wp:cNvGraphicFramePr>
            <a:graphic>
              <a:graphicData uri="http://schemas.openxmlformats.org/drawingml/2006/picture">
                <pic:pic>
                  <pic:nvPicPr>
                    <pic:cNvPr id="26" name="image26.png"/>
                    <pic:cNvPicPr/>
                  </pic:nvPicPr>
                  <pic:blipFill>
                    <a:blip r:embed="rId36" cstate="print"/>
                    <a:stretch>
                      <a:fillRect/>
                    </a:stretch>
                  </pic:blipFill>
                  <pic:spPr>
                    <a:xfrm>
                      <a:off x="0" y="0"/>
                      <a:ext cx="12649" cy="8373830"/>
                    </a:xfrm>
                    <a:prstGeom prst="rect">
                      <a:avLst/>
                    </a:prstGeom>
                  </pic:spPr>
                </pic:pic>
              </a:graphicData>
            </a:graphic>
          </wp:anchor>
        </w:drawing>
      </w:r>
      <w:bookmarkStart w:name="References" w:id="47"/>
      <w:bookmarkEnd w:id="47"/>
      <w:r>
        <w:rPr/>
      </w:r>
      <w:r>
        <w:rPr/>
        <w:t>writing-reviewing and editing; C.S.: writing-original draft preparation, writing-reviewing and editing; L.A.P.: writing- original draft preparation, writing-reviewing and editing; S. B.: writing-original draft preparation, writing-reviewing and editing; V.R.: writing-original draft preparation, writing-reviewing and editing; J.R.B.: writing-original draft preparation, writing-reviewing and editing; L.K.: writing- original draft preparation, writing-reviewing and editing; M.C.S.: data curation, writing-original draft preparation, writing-reviewing and editing; C.G.: data curation, writing- original draft preparation, writing-reviewing and </w:t>
      </w:r>
      <w:r>
        <w:rPr>
          <w:spacing w:val="7"/>
        </w:rPr>
        <w:t> </w:t>
      </w:r>
      <w:r>
        <w:rPr/>
        <w:t>editing.</w:t>
      </w:r>
    </w:p>
    <w:p>
      <w:pPr>
        <w:pStyle w:val="BodyText"/>
        <w:spacing w:before="4"/>
        <w:rPr>
          <w:sz w:val="23"/>
        </w:rPr>
      </w:pPr>
    </w:p>
    <w:p>
      <w:pPr>
        <w:pStyle w:val="Heading1"/>
        <w:ind w:left="116"/>
      </w:pPr>
      <w:r>
        <w:rPr>
          <w:color w:val="E53527"/>
        </w:rPr>
        <w:t>References</w:t>
      </w:r>
    </w:p>
    <w:p>
      <w:pPr>
        <w:pStyle w:val="ListParagraph"/>
        <w:numPr>
          <w:ilvl w:val="3"/>
          <w:numId w:val="3"/>
        </w:numPr>
        <w:tabs>
          <w:tab w:pos="484" w:val="left" w:leader="none"/>
        </w:tabs>
        <w:spacing w:line="247" w:lineRule="auto" w:before="124" w:after="0"/>
        <w:ind w:left="483" w:right="252" w:hanging="227"/>
        <w:jc w:val="both"/>
        <w:rPr>
          <w:sz w:val="14"/>
        </w:rPr>
      </w:pPr>
      <w:bookmarkStart w:name="_bookmark22" w:id="48"/>
      <w:bookmarkEnd w:id="48"/>
      <w:r>
        <w:rPr/>
      </w:r>
      <w:hyperlink r:id="rId37">
        <w:bookmarkStart w:name="_bookmark22" w:id="49"/>
        <w:bookmarkEnd w:id="49"/>
        <w:r>
          <w:rPr>
            <w:color w:val="127EAD"/>
            <w:sz w:val="14"/>
          </w:rPr>
          <w:t>Schondorf</w:t>
        </w:r>
        <w:r>
          <w:rPr>
            <w:color w:val="127EAD"/>
            <w:sz w:val="14"/>
          </w:rPr>
          <w:t> R, Low PA. Idiopathic postural orthostatic tachycardia</w:t>
        </w:r>
      </w:hyperlink>
      <w:r>
        <w:rPr>
          <w:color w:val="127EAD"/>
          <w:sz w:val="14"/>
        </w:rPr>
        <w:t> </w:t>
      </w:r>
      <w:hyperlink r:id="rId37">
        <w:r>
          <w:rPr>
            <w:color w:val="127EAD"/>
            <w:sz w:val="14"/>
          </w:rPr>
          <w:t>syndrome: an attenuated form of acute pandysautonomia? Neurology.</w:t>
        </w:r>
      </w:hyperlink>
      <w:r>
        <w:rPr>
          <w:color w:val="127EAD"/>
          <w:sz w:val="14"/>
        </w:rPr>
        <w:t> </w:t>
      </w:r>
      <w:bookmarkStart w:name="_bookmark23" w:id="50"/>
      <w:bookmarkEnd w:id="50"/>
      <w:r>
        <w:rPr>
          <w:color w:val="127EAD"/>
          <w:sz w:val="14"/>
        </w:rPr>
      </w:r>
      <w:hyperlink r:id="rId37">
        <w:r>
          <w:rPr>
            <w:color w:val="127EAD"/>
            <w:sz w:val="14"/>
          </w:rPr>
          <w:t>1993;43:132–7</w:t>
        </w:r>
      </w:hyperlink>
      <w:r>
        <w:rPr>
          <w:sz w:val="14"/>
        </w:rPr>
        <w:t>.</w:t>
      </w:r>
    </w:p>
    <w:p>
      <w:pPr>
        <w:pStyle w:val="ListParagraph"/>
        <w:numPr>
          <w:ilvl w:val="3"/>
          <w:numId w:val="3"/>
        </w:numPr>
        <w:tabs>
          <w:tab w:pos="484" w:val="left" w:leader="none"/>
        </w:tabs>
        <w:spacing w:line="247" w:lineRule="auto" w:before="0" w:after="0"/>
        <w:ind w:left="483" w:right="252" w:hanging="227"/>
        <w:jc w:val="both"/>
        <w:rPr>
          <w:sz w:val="14"/>
        </w:rPr>
      </w:pPr>
      <w:hyperlink r:id="rId38">
        <w:r>
          <w:rPr>
            <w:color w:val="127EAD"/>
            <w:sz w:val="14"/>
          </w:rPr>
          <w:t>Sheldon RS, Grubb BP 2nd, Olshansky B, Shen WK, Calkins H,</w:t>
        </w:r>
      </w:hyperlink>
      <w:r>
        <w:rPr>
          <w:color w:val="127EAD"/>
          <w:sz w:val="14"/>
        </w:rPr>
        <w:t>  </w:t>
      </w:r>
      <w:hyperlink r:id="rId38">
        <w:r>
          <w:rPr>
            <w:color w:val="127EAD"/>
            <w:sz w:val="14"/>
          </w:rPr>
          <w:t>Brignole M, et al. 2015 heart rhythm society expert consensus</w:t>
        </w:r>
        <w:r>
          <w:rPr>
            <w:color w:val="127EAD"/>
            <w:spacing w:val="-12"/>
            <w:sz w:val="14"/>
          </w:rPr>
          <w:t> </w:t>
        </w:r>
        <w:r>
          <w:rPr>
            <w:color w:val="127EAD"/>
            <w:sz w:val="14"/>
          </w:rPr>
          <w:t>statement</w:t>
        </w:r>
      </w:hyperlink>
      <w:r>
        <w:rPr>
          <w:color w:val="127EAD"/>
          <w:sz w:val="14"/>
        </w:rPr>
        <w:t> </w:t>
      </w:r>
      <w:hyperlink r:id="rId38">
        <w:r>
          <w:rPr>
            <w:color w:val="127EAD"/>
            <w:sz w:val="14"/>
          </w:rPr>
          <w:t>on the diagnosis and treatment of postural tachycardia syndrome,</w:t>
        </w:r>
      </w:hyperlink>
      <w:r>
        <w:rPr>
          <w:color w:val="127EAD"/>
          <w:sz w:val="14"/>
        </w:rPr>
        <w:t> </w:t>
      </w:r>
      <w:hyperlink r:id="rId38">
        <w:r>
          <w:rPr>
            <w:color w:val="127EAD"/>
            <w:sz w:val="14"/>
          </w:rPr>
          <w:t>inappropriate sinus tachycardia, and vasovagal syncope. Heart</w:t>
        </w:r>
      </w:hyperlink>
      <w:r>
        <w:rPr>
          <w:color w:val="127EAD"/>
          <w:sz w:val="14"/>
        </w:rPr>
        <w:t> </w:t>
      </w:r>
      <w:bookmarkStart w:name="_bookmark24" w:id="51"/>
      <w:bookmarkEnd w:id="51"/>
      <w:r>
        <w:rPr>
          <w:color w:val="127EAD"/>
          <w:sz w:val="14"/>
        </w:rPr>
      </w:r>
      <w:hyperlink r:id="rId38">
        <w:r>
          <w:rPr>
            <w:color w:val="127EAD"/>
            <w:sz w:val="14"/>
          </w:rPr>
          <w:t>Rhythm.</w:t>
        </w:r>
        <w:r>
          <w:rPr>
            <w:color w:val="127EAD"/>
            <w:spacing w:val="5"/>
            <w:sz w:val="14"/>
          </w:rPr>
          <w:t> </w:t>
        </w:r>
        <w:r>
          <w:rPr>
            <w:color w:val="127EAD"/>
            <w:sz w:val="14"/>
          </w:rPr>
          <w:t>2015;12:e41–63</w:t>
        </w:r>
      </w:hyperlink>
      <w:r>
        <w:rPr>
          <w:sz w:val="14"/>
        </w:rPr>
        <w:t>.</w:t>
      </w:r>
    </w:p>
    <w:p>
      <w:pPr>
        <w:pStyle w:val="ListParagraph"/>
        <w:numPr>
          <w:ilvl w:val="3"/>
          <w:numId w:val="3"/>
        </w:numPr>
        <w:tabs>
          <w:tab w:pos="484" w:val="left" w:leader="none"/>
        </w:tabs>
        <w:spacing w:line="247" w:lineRule="auto" w:before="1" w:after="0"/>
        <w:ind w:left="483" w:right="252" w:hanging="227"/>
        <w:jc w:val="both"/>
        <w:rPr>
          <w:sz w:val="14"/>
        </w:rPr>
      </w:pPr>
      <w:hyperlink r:id="rId39">
        <w:r>
          <w:rPr>
            <w:color w:val="127EAD"/>
            <w:sz w:val="14"/>
          </w:rPr>
          <w:t>Raj SR, Guzman JC, Harvey P, Richer L, Schondorf R, Seifer C, et al.</w:t>
        </w:r>
      </w:hyperlink>
      <w:r>
        <w:rPr>
          <w:color w:val="127EAD"/>
          <w:sz w:val="14"/>
        </w:rPr>
        <w:t> </w:t>
      </w:r>
      <w:hyperlink r:id="rId39">
        <w:r>
          <w:rPr>
            <w:color w:val="127EAD"/>
            <w:sz w:val="14"/>
          </w:rPr>
          <w:t>Canadian Cardiovascular Society position statement on postural</w:t>
        </w:r>
      </w:hyperlink>
      <w:r>
        <w:rPr>
          <w:color w:val="127EAD"/>
          <w:sz w:val="14"/>
        </w:rPr>
        <w:t> </w:t>
      </w:r>
      <w:hyperlink r:id="rId39">
        <w:r>
          <w:rPr>
            <w:color w:val="127EAD"/>
            <w:sz w:val="14"/>
          </w:rPr>
          <w:t>orthostatic tachycardia syndrome (POTS) and related disorders of</w:t>
        </w:r>
      </w:hyperlink>
      <w:r>
        <w:rPr>
          <w:color w:val="127EAD"/>
          <w:sz w:val="14"/>
        </w:rPr>
        <w:t> </w:t>
      </w:r>
      <w:bookmarkStart w:name="_bookmark25" w:id="52"/>
      <w:bookmarkEnd w:id="52"/>
      <w:r>
        <w:rPr>
          <w:color w:val="127EAD"/>
          <w:sz w:val="14"/>
        </w:rPr>
      </w:r>
      <w:hyperlink r:id="rId39">
        <w:r>
          <w:rPr>
            <w:color w:val="127EAD"/>
            <w:sz w:val="14"/>
          </w:rPr>
          <w:t>chronic orthostatic intolerance. Can J Cardiol. </w:t>
        </w:r>
        <w:r>
          <w:rPr>
            <w:color w:val="127EAD"/>
            <w:spacing w:val="15"/>
            <w:sz w:val="14"/>
          </w:rPr>
          <w:t> </w:t>
        </w:r>
        <w:r>
          <w:rPr>
            <w:color w:val="127EAD"/>
            <w:sz w:val="14"/>
          </w:rPr>
          <w:t>2020;36:357–72</w:t>
        </w:r>
      </w:hyperlink>
      <w:r>
        <w:rPr>
          <w:sz w:val="14"/>
        </w:rPr>
        <w:t>.</w:t>
      </w:r>
    </w:p>
    <w:p>
      <w:pPr>
        <w:pStyle w:val="ListParagraph"/>
        <w:numPr>
          <w:ilvl w:val="3"/>
          <w:numId w:val="3"/>
        </w:numPr>
        <w:tabs>
          <w:tab w:pos="484" w:val="left" w:leader="none"/>
        </w:tabs>
        <w:spacing w:line="247" w:lineRule="auto" w:before="0" w:after="0"/>
        <w:ind w:left="483" w:right="252" w:hanging="227"/>
        <w:jc w:val="both"/>
        <w:rPr>
          <w:sz w:val="14"/>
        </w:rPr>
      </w:pPr>
      <w:hyperlink r:id="rId40">
        <w:r>
          <w:rPr>
            <w:color w:val="127EAD"/>
            <w:sz w:val="14"/>
          </w:rPr>
          <w:t>Blitshteyn S, Fedorowski A. The risks of POTS after COVID-19 vacci-</w:t>
        </w:r>
      </w:hyperlink>
      <w:r>
        <w:rPr>
          <w:color w:val="127EAD"/>
          <w:sz w:val="14"/>
        </w:rPr>
        <w:t> </w:t>
      </w:r>
      <w:hyperlink r:id="rId40">
        <w:r>
          <w:rPr>
            <w:color w:val="127EAD"/>
            <w:sz w:val="14"/>
          </w:rPr>
          <w:t>nation and SARS-CoV-2 infection: more studies are needed. Nat Car-</w:t>
        </w:r>
      </w:hyperlink>
      <w:r>
        <w:rPr>
          <w:color w:val="127EAD"/>
          <w:sz w:val="14"/>
        </w:rPr>
        <w:t> </w:t>
      </w:r>
      <w:bookmarkStart w:name="_bookmark26" w:id="53"/>
      <w:bookmarkEnd w:id="53"/>
      <w:r>
        <w:rPr>
          <w:color w:val="127EAD"/>
          <w:sz w:val="14"/>
        </w:rPr>
      </w:r>
      <w:hyperlink r:id="rId40">
        <w:r>
          <w:rPr>
            <w:color w:val="127EAD"/>
            <w:sz w:val="14"/>
          </w:rPr>
          <w:t>diovasc Res.</w:t>
        </w:r>
        <w:r>
          <w:rPr>
            <w:color w:val="127EAD"/>
            <w:spacing w:val="14"/>
            <w:sz w:val="14"/>
          </w:rPr>
          <w:t> </w:t>
        </w:r>
        <w:r>
          <w:rPr>
            <w:color w:val="127EAD"/>
            <w:sz w:val="14"/>
          </w:rPr>
          <w:t>2022;1:1119–20</w:t>
        </w:r>
      </w:hyperlink>
      <w:r>
        <w:rPr>
          <w:sz w:val="14"/>
        </w:rPr>
        <w:t>.</w:t>
      </w:r>
    </w:p>
    <w:p>
      <w:pPr>
        <w:pStyle w:val="ListParagraph"/>
        <w:numPr>
          <w:ilvl w:val="3"/>
          <w:numId w:val="3"/>
        </w:numPr>
        <w:tabs>
          <w:tab w:pos="484" w:val="left" w:leader="none"/>
        </w:tabs>
        <w:spacing w:line="247" w:lineRule="auto" w:before="0" w:after="0"/>
        <w:ind w:left="483" w:right="250" w:hanging="227"/>
        <w:jc w:val="both"/>
        <w:rPr>
          <w:sz w:val="14"/>
        </w:rPr>
      </w:pPr>
      <w:hyperlink r:id="rId41">
        <w:r>
          <w:rPr>
            <w:color w:val="127EAD"/>
            <w:sz w:val="14"/>
          </w:rPr>
          <w:t>Shaw BH, Stiles LE, Bourne K, Green EA, Shibao CA, Okamoto LE,</w:t>
        </w:r>
      </w:hyperlink>
      <w:r>
        <w:rPr>
          <w:color w:val="127EAD"/>
          <w:sz w:val="14"/>
        </w:rPr>
        <w:t>     </w:t>
      </w:r>
      <w:hyperlink r:id="rId41">
        <w:r>
          <w:rPr>
            <w:color w:val="127EAD"/>
            <w:sz w:val="14"/>
          </w:rPr>
          <w:t>et al. The face of postural tachycardia syndrome - insights from a large</w:t>
        </w:r>
      </w:hyperlink>
      <w:r>
        <w:rPr>
          <w:color w:val="127EAD"/>
          <w:sz w:val="14"/>
        </w:rPr>
        <w:t> </w:t>
      </w:r>
      <w:hyperlink r:id="rId41">
        <w:r>
          <w:rPr>
            <w:color w:val="127EAD"/>
            <w:sz w:val="14"/>
          </w:rPr>
          <w:t>cross-sectional online community-based survey. J Intern Med.</w:t>
        </w:r>
      </w:hyperlink>
      <w:r>
        <w:rPr>
          <w:color w:val="127EAD"/>
          <w:sz w:val="14"/>
        </w:rPr>
        <w:t> </w:t>
      </w:r>
      <w:bookmarkStart w:name="_bookmark27" w:id="54"/>
      <w:bookmarkEnd w:id="54"/>
      <w:r>
        <w:rPr>
          <w:color w:val="127EAD"/>
          <w:sz w:val="14"/>
        </w:rPr>
      </w:r>
      <w:hyperlink r:id="rId41">
        <w:r>
          <w:rPr>
            <w:color w:val="127EAD"/>
            <w:sz w:val="14"/>
          </w:rPr>
          <w:t>2019;286:438–48</w:t>
        </w:r>
      </w:hyperlink>
      <w:r>
        <w:rPr>
          <w:sz w:val="14"/>
        </w:rPr>
        <w:t>.</w:t>
      </w:r>
    </w:p>
    <w:p>
      <w:pPr>
        <w:pStyle w:val="ListParagraph"/>
        <w:numPr>
          <w:ilvl w:val="3"/>
          <w:numId w:val="3"/>
        </w:numPr>
        <w:tabs>
          <w:tab w:pos="484" w:val="left" w:leader="none"/>
        </w:tabs>
        <w:spacing w:line="247" w:lineRule="auto" w:before="0" w:after="0"/>
        <w:ind w:left="483" w:right="252" w:hanging="227"/>
        <w:jc w:val="both"/>
        <w:rPr>
          <w:sz w:val="14"/>
        </w:rPr>
      </w:pPr>
      <w:hyperlink r:id="rId42">
        <w:r>
          <w:rPr>
            <w:color w:val="127EAD"/>
            <w:sz w:val="14"/>
          </w:rPr>
          <w:t>Seeley MC, Lau DH, Gallagher C. Postural orthostatic tachycardia</w:t>
        </w:r>
      </w:hyperlink>
      <w:r>
        <w:rPr>
          <w:color w:val="127EAD"/>
          <w:sz w:val="14"/>
        </w:rPr>
        <w:t> </w:t>
      </w:r>
      <w:hyperlink r:id="rId42">
        <w:r>
          <w:rPr>
            <w:color w:val="127EAD"/>
            <w:sz w:val="14"/>
          </w:rPr>
          <w:t>syndrome: diagnosis and management guide for nurses. Nurs Res Rev.</w:t>
        </w:r>
      </w:hyperlink>
      <w:r>
        <w:rPr>
          <w:color w:val="127EAD"/>
          <w:sz w:val="14"/>
        </w:rPr>
        <w:t> </w:t>
      </w:r>
      <w:bookmarkStart w:name="_bookmark28" w:id="55"/>
      <w:bookmarkEnd w:id="55"/>
      <w:r>
        <w:rPr>
          <w:color w:val="127EAD"/>
          <w:sz w:val="14"/>
        </w:rPr>
      </w:r>
      <w:hyperlink r:id="rId42">
        <w:r>
          <w:rPr>
            <w:color w:val="127EAD"/>
            <w:sz w:val="14"/>
          </w:rPr>
          <w:t>2023;13:41–9</w:t>
        </w:r>
      </w:hyperlink>
      <w:r>
        <w:rPr>
          <w:sz w:val="14"/>
        </w:rPr>
        <w:t>.</w:t>
      </w:r>
    </w:p>
    <w:p>
      <w:pPr>
        <w:pStyle w:val="ListParagraph"/>
        <w:numPr>
          <w:ilvl w:val="3"/>
          <w:numId w:val="3"/>
        </w:numPr>
        <w:tabs>
          <w:tab w:pos="484" w:val="left" w:leader="none"/>
        </w:tabs>
        <w:spacing w:line="247" w:lineRule="auto" w:before="0" w:after="0"/>
        <w:ind w:left="483" w:right="252" w:hanging="227"/>
        <w:jc w:val="both"/>
        <w:rPr>
          <w:sz w:val="14"/>
        </w:rPr>
      </w:pPr>
      <w:hyperlink r:id="rId43">
        <w:r>
          <w:rPr>
            <w:color w:val="127EAD"/>
            <w:sz w:val="14"/>
          </w:rPr>
          <w:t>Vernino S, Bourne KM, Stiles LE, Grubb BP, Fedorowski A, Stewart</w:t>
        </w:r>
        <w:r>
          <w:rPr>
            <w:color w:val="127EAD"/>
            <w:spacing w:val="-13"/>
            <w:sz w:val="14"/>
          </w:rPr>
          <w:t> </w:t>
        </w:r>
        <w:r>
          <w:rPr>
            <w:color w:val="127EAD"/>
            <w:sz w:val="14"/>
          </w:rPr>
          <w:t>JM,</w:t>
        </w:r>
      </w:hyperlink>
      <w:r>
        <w:rPr>
          <w:color w:val="127EAD"/>
          <w:sz w:val="14"/>
        </w:rPr>
        <w:t> </w:t>
      </w:r>
      <w:hyperlink r:id="rId43">
        <w:r>
          <w:rPr>
            <w:color w:val="127EAD"/>
            <w:sz w:val="14"/>
          </w:rPr>
          <w:t>et al. Postural orthostatic tachycardia syndrome (POTS): state of the</w:t>
        </w:r>
      </w:hyperlink>
      <w:r>
        <w:rPr>
          <w:color w:val="127EAD"/>
          <w:sz w:val="14"/>
        </w:rPr>
        <w:t> </w:t>
      </w:r>
      <w:hyperlink r:id="rId43">
        <w:r>
          <w:rPr>
            <w:color w:val="127EAD"/>
            <w:sz w:val="14"/>
          </w:rPr>
          <w:t>science and clinical care from a 2019 National Institutes of Health</w:t>
        </w:r>
      </w:hyperlink>
      <w:r>
        <w:rPr>
          <w:color w:val="127EAD"/>
          <w:sz w:val="14"/>
        </w:rPr>
        <w:t> </w:t>
      </w:r>
      <w:bookmarkStart w:name="_bookmark29" w:id="56"/>
      <w:bookmarkEnd w:id="56"/>
      <w:r>
        <w:rPr>
          <w:color w:val="127EAD"/>
          <w:sz w:val="14"/>
        </w:rPr>
      </w:r>
      <w:hyperlink r:id="rId43">
        <w:r>
          <w:rPr>
            <w:color w:val="127EAD"/>
            <w:sz w:val="14"/>
          </w:rPr>
          <w:t>Expert Consensus Meeting - Part 1. Auton Neurosci. </w:t>
        </w:r>
        <w:r>
          <w:rPr>
            <w:color w:val="127EAD"/>
            <w:spacing w:val="34"/>
            <w:sz w:val="14"/>
          </w:rPr>
          <w:t> </w:t>
        </w:r>
        <w:r>
          <w:rPr>
            <w:color w:val="127EAD"/>
            <w:sz w:val="14"/>
          </w:rPr>
          <w:t>2021;235:102828</w:t>
        </w:r>
      </w:hyperlink>
      <w:r>
        <w:rPr>
          <w:sz w:val="14"/>
        </w:rPr>
        <w:t>.</w:t>
      </w:r>
    </w:p>
    <w:p>
      <w:pPr>
        <w:pStyle w:val="ListParagraph"/>
        <w:numPr>
          <w:ilvl w:val="3"/>
          <w:numId w:val="3"/>
        </w:numPr>
        <w:tabs>
          <w:tab w:pos="484" w:val="left" w:leader="none"/>
        </w:tabs>
        <w:spacing w:line="247" w:lineRule="auto" w:before="0" w:after="0"/>
        <w:ind w:left="483" w:right="252" w:hanging="227"/>
        <w:jc w:val="both"/>
        <w:rPr>
          <w:sz w:val="14"/>
        </w:rPr>
      </w:pPr>
      <w:hyperlink r:id="rId44">
        <w:r>
          <w:rPr>
            <w:color w:val="127EAD"/>
            <w:sz w:val="14"/>
          </w:rPr>
          <w:t>Seeley MC, Gallagher C, Ong E, Langdon A, Chieng J, Bailey D, et al.</w:t>
        </w:r>
      </w:hyperlink>
      <w:r>
        <w:rPr>
          <w:color w:val="127EAD"/>
          <w:sz w:val="14"/>
        </w:rPr>
        <w:t> </w:t>
      </w:r>
      <w:hyperlink r:id="rId44">
        <w:r>
          <w:rPr>
            <w:color w:val="127EAD"/>
            <w:sz w:val="14"/>
          </w:rPr>
          <w:t>Poor health-related quality of life in postural orthostatic tachycardia</w:t>
        </w:r>
      </w:hyperlink>
      <w:r>
        <w:rPr>
          <w:color w:val="127EAD"/>
          <w:sz w:val="14"/>
        </w:rPr>
        <w:t> </w:t>
      </w:r>
      <w:hyperlink r:id="rId44">
        <w:r>
          <w:rPr>
            <w:color w:val="127EAD"/>
            <w:sz w:val="14"/>
          </w:rPr>
          <w:t>syndrome in comparison with a sex- and age-matched normative</w:t>
        </w:r>
      </w:hyperlink>
      <w:r>
        <w:rPr>
          <w:color w:val="127EAD"/>
          <w:sz w:val="14"/>
        </w:rPr>
        <w:t> </w:t>
      </w:r>
      <w:bookmarkStart w:name="_bookmark30" w:id="57"/>
      <w:bookmarkEnd w:id="57"/>
      <w:r>
        <w:rPr>
          <w:color w:val="127EAD"/>
          <w:sz w:val="14"/>
        </w:rPr>
      </w:r>
      <w:hyperlink r:id="rId44">
        <w:r>
          <w:rPr>
            <w:color w:val="127EAD"/>
            <w:sz w:val="14"/>
          </w:rPr>
          <w:t>population. Clin Auton Res.</w:t>
        </w:r>
        <w:r>
          <w:rPr>
            <w:color w:val="127EAD"/>
            <w:spacing w:val="32"/>
            <w:sz w:val="14"/>
          </w:rPr>
          <w:t> </w:t>
        </w:r>
        <w:r>
          <w:rPr>
            <w:color w:val="127EAD"/>
            <w:sz w:val="14"/>
          </w:rPr>
          <w:t>2023;33:469–77</w:t>
        </w:r>
      </w:hyperlink>
      <w:r>
        <w:rPr>
          <w:sz w:val="14"/>
        </w:rPr>
        <w:t>.</w:t>
      </w:r>
    </w:p>
    <w:p>
      <w:pPr>
        <w:pStyle w:val="ListParagraph"/>
        <w:numPr>
          <w:ilvl w:val="3"/>
          <w:numId w:val="3"/>
        </w:numPr>
        <w:tabs>
          <w:tab w:pos="484" w:val="left" w:leader="none"/>
        </w:tabs>
        <w:spacing w:line="247" w:lineRule="auto" w:before="0" w:after="0"/>
        <w:ind w:left="483" w:right="252" w:hanging="227"/>
        <w:jc w:val="both"/>
        <w:rPr>
          <w:sz w:val="14"/>
        </w:rPr>
      </w:pPr>
      <w:hyperlink r:id="rId45">
        <w:r>
          <w:rPr>
            <w:color w:val="127EAD"/>
            <w:sz w:val="14"/>
          </w:rPr>
          <w:t>Seeley MC, Wilson G, Ong E, Langdon A, Chieng J, Bailey D, et al.</w:t>
        </w:r>
      </w:hyperlink>
      <w:r>
        <w:rPr>
          <w:color w:val="127EAD"/>
          <w:sz w:val="14"/>
        </w:rPr>
        <w:t> </w:t>
      </w:r>
      <w:hyperlink r:id="rId45">
        <w:r>
          <w:rPr>
            <w:color w:val="127EAD"/>
            <w:sz w:val="14"/>
          </w:rPr>
          <w:t>Biological sex-dependent differences in postural orthostatic</w:t>
        </w:r>
        <w:r>
          <w:rPr>
            <w:color w:val="127EAD"/>
            <w:spacing w:val="-17"/>
            <w:sz w:val="14"/>
          </w:rPr>
          <w:t> </w:t>
        </w:r>
        <w:r>
          <w:rPr>
            <w:color w:val="127EAD"/>
            <w:sz w:val="14"/>
          </w:rPr>
          <w:t>tachycardia</w:t>
        </w:r>
      </w:hyperlink>
      <w:r>
        <w:rPr>
          <w:color w:val="127EAD"/>
          <w:sz w:val="14"/>
        </w:rPr>
        <w:t> </w:t>
      </w:r>
      <w:bookmarkStart w:name="_bookmark31" w:id="58"/>
      <w:bookmarkEnd w:id="58"/>
      <w:r>
        <w:rPr>
          <w:color w:val="127EAD"/>
          <w:sz w:val="14"/>
        </w:rPr>
      </w:r>
      <w:hyperlink r:id="rId45">
        <w:r>
          <w:rPr>
            <w:color w:val="127EAD"/>
            <w:sz w:val="14"/>
          </w:rPr>
          <w:t>syndrome. Eur J Cardiovasc Nurs. </w:t>
        </w:r>
        <w:r>
          <w:rPr>
            <w:color w:val="127EAD"/>
            <w:spacing w:val="7"/>
            <w:sz w:val="14"/>
          </w:rPr>
          <w:t> </w:t>
        </w:r>
        <w:r>
          <w:rPr>
            <w:color w:val="127EAD"/>
            <w:sz w:val="14"/>
          </w:rPr>
          <w:t>2025;24:762–71</w:t>
        </w:r>
      </w:hyperlink>
      <w:r>
        <w:rPr>
          <w:sz w:val="14"/>
        </w:rPr>
        <w:t>.</w:t>
      </w:r>
    </w:p>
    <w:p>
      <w:pPr>
        <w:pStyle w:val="ListParagraph"/>
        <w:numPr>
          <w:ilvl w:val="3"/>
          <w:numId w:val="3"/>
        </w:numPr>
        <w:tabs>
          <w:tab w:pos="484" w:val="left" w:leader="none"/>
        </w:tabs>
        <w:spacing w:line="247" w:lineRule="auto" w:before="0" w:after="0"/>
        <w:ind w:left="483" w:right="253" w:hanging="297"/>
        <w:jc w:val="both"/>
        <w:rPr>
          <w:sz w:val="14"/>
        </w:rPr>
      </w:pPr>
      <w:hyperlink r:id="rId46">
        <w:r>
          <w:rPr>
            <w:color w:val="127EAD"/>
            <w:sz w:val="14"/>
          </w:rPr>
          <w:t>Seeley MC, Wilson G, Ong E, Langdon A, Chieng J, Bailey D, et al.</w:t>
        </w:r>
      </w:hyperlink>
      <w:r>
        <w:rPr>
          <w:color w:val="127EAD"/>
          <w:sz w:val="14"/>
        </w:rPr>
        <w:t> </w:t>
      </w:r>
      <w:hyperlink r:id="rId46">
        <w:r>
          <w:rPr>
            <w:color w:val="127EAD"/>
            <w:sz w:val="14"/>
          </w:rPr>
          <w:t>Symptom burden, quality of life, and diagnostic journey of people with</w:t>
        </w:r>
      </w:hyperlink>
      <w:r>
        <w:rPr>
          <w:color w:val="127EAD"/>
          <w:sz w:val="14"/>
        </w:rPr>
        <w:t> </w:t>
      </w:r>
      <w:hyperlink r:id="rId46">
        <w:r>
          <w:rPr>
            <w:color w:val="127EAD"/>
            <w:sz w:val="14"/>
          </w:rPr>
          <w:t>postural orthostatic tachycardia syndrome, Australia, 2021–24: a</w:t>
        </w:r>
      </w:hyperlink>
      <w:r>
        <w:rPr>
          <w:color w:val="127EAD"/>
          <w:sz w:val="14"/>
        </w:rPr>
        <w:t> </w:t>
      </w:r>
      <w:bookmarkStart w:name="_bookmark32" w:id="59"/>
      <w:bookmarkEnd w:id="59"/>
      <w:r>
        <w:rPr>
          <w:color w:val="127EAD"/>
          <w:sz w:val="14"/>
        </w:rPr>
      </w:r>
      <w:hyperlink r:id="rId46">
        <w:r>
          <w:rPr>
            <w:color w:val="127EAD"/>
            <w:sz w:val="14"/>
          </w:rPr>
          <w:t>descriptive patient registry data study. Med J Aust. </w:t>
        </w:r>
        <w:r>
          <w:rPr>
            <w:color w:val="127EAD"/>
            <w:spacing w:val="34"/>
            <w:sz w:val="14"/>
          </w:rPr>
          <w:t> </w:t>
        </w:r>
        <w:r>
          <w:rPr>
            <w:color w:val="127EAD"/>
            <w:sz w:val="14"/>
          </w:rPr>
          <w:t>2025;223:159–60</w:t>
        </w:r>
      </w:hyperlink>
      <w:r>
        <w:rPr>
          <w:sz w:val="14"/>
        </w:rPr>
        <w:t>.</w:t>
      </w:r>
    </w:p>
    <w:p>
      <w:pPr>
        <w:pStyle w:val="ListParagraph"/>
        <w:numPr>
          <w:ilvl w:val="3"/>
          <w:numId w:val="3"/>
        </w:numPr>
        <w:tabs>
          <w:tab w:pos="484" w:val="left" w:leader="none"/>
        </w:tabs>
        <w:spacing w:line="247" w:lineRule="auto" w:before="0" w:after="0"/>
        <w:ind w:left="483" w:right="253" w:hanging="297"/>
        <w:jc w:val="both"/>
        <w:rPr>
          <w:sz w:val="14"/>
        </w:rPr>
      </w:pPr>
      <w:hyperlink r:id="rId47">
        <w:r>
          <w:rPr>
            <w:color w:val="127EAD"/>
            <w:sz w:val="14"/>
          </w:rPr>
          <w:t>Seeley MC, Gallagher C, Ong E, Langdon A, Chieng J, Bailey D, et al.</w:t>
        </w:r>
      </w:hyperlink>
      <w:r>
        <w:rPr>
          <w:color w:val="127EAD"/>
          <w:sz w:val="14"/>
        </w:rPr>
        <w:t> </w:t>
      </w:r>
      <w:hyperlink r:id="rId47">
        <w:r>
          <w:rPr>
            <w:color w:val="127EAD"/>
            <w:sz w:val="14"/>
          </w:rPr>
          <w:t>High incidence of autonomic dysfunction and postural orthostatic</w:t>
        </w:r>
      </w:hyperlink>
      <w:r>
        <w:rPr>
          <w:color w:val="127EAD"/>
          <w:sz w:val="14"/>
        </w:rPr>
        <w:t> </w:t>
      </w:r>
      <w:hyperlink r:id="rId47">
        <w:r>
          <w:rPr>
            <w:color w:val="127EAD"/>
            <w:sz w:val="14"/>
          </w:rPr>
          <w:t>tachycardia syndrome in patients with long COVID: implications for</w:t>
        </w:r>
      </w:hyperlink>
      <w:r>
        <w:rPr>
          <w:color w:val="127EAD"/>
          <w:sz w:val="14"/>
        </w:rPr>
        <w:t> </w:t>
      </w:r>
      <w:bookmarkStart w:name="_bookmark33" w:id="60"/>
      <w:bookmarkEnd w:id="60"/>
      <w:r>
        <w:rPr>
          <w:color w:val="127EAD"/>
          <w:sz w:val="14"/>
        </w:rPr>
      </w:r>
      <w:hyperlink r:id="rId47">
        <w:r>
          <w:rPr>
            <w:color w:val="127EAD"/>
            <w:sz w:val="14"/>
          </w:rPr>
          <w:t>management and health care planning. Am J Med.</w:t>
        </w:r>
        <w:r>
          <w:rPr>
            <w:color w:val="127EAD"/>
            <w:spacing w:val="-3"/>
            <w:sz w:val="14"/>
          </w:rPr>
          <w:t> </w:t>
        </w:r>
        <w:r>
          <w:rPr>
            <w:color w:val="127EAD"/>
            <w:sz w:val="14"/>
          </w:rPr>
          <w:t>2025;138:354–361.e1</w:t>
        </w:r>
      </w:hyperlink>
      <w:r>
        <w:rPr>
          <w:sz w:val="14"/>
        </w:rPr>
        <w:t>.</w:t>
      </w:r>
    </w:p>
    <w:p>
      <w:pPr>
        <w:pStyle w:val="ListParagraph"/>
        <w:numPr>
          <w:ilvl w:val="3"/>
          <w:numId w:val="3"/>
        </w:numPr>
        <w:tabs>
          <w:tab w:pos="484" w:val="left" w:leader="none"/>
        </w:tabs>
        <w:spacing w:line="247" w:lineRule="auto" w:before="0" w:after="0"/>
        <w:ind w:left="483" w:right="252" w:hanging="297"/>
        <w:jc w:val="both"/>
        <w:rPr>
          <w:sz w:val="14"/>
        </w:rPr>
      </w:pPr>
      <w:hyperlink r:id="rId48">
        <w:r>
          <w:rPr>
            <w:color w:val="127EAD"/>
            <w:sz w:val="14"/>
          </w:rPr>
          <w:t>Seeley MC, Gallagher C, Colman F, Lau DH. Impact of long-COVID on</w:t>
        </w:r>
      </w:hyperlink>
      <w:r>
        <w:rPr>
          <w:color w:val="127EAD"/>
          <w:sz w:val="14"/>
        </w:rPr>
        <w:t> </w:t>
      </w:r>
      <w:hyperlink r:id="rId48">
        <w:r>
          <w:rPr>
            <w:color w:val="127EAD"/>
            <w:sz w:val="14"/>
          </w:rPr>
          <w:t>Australian sufferers: implications for healthcare planning. Heart Lung</w:t>
        </w:r>
      </w:hyperlink>
      <w:r>
        <w:rPr>
          <w:color w:val="127EAD"/>
          <w:sz w:val="14"/>
        </w:rPr>
        <w:t> </w:t>
      </w:r>
      <w:hyperlink r:id="rId48">
        <w:r>
          <w:rPr>
            <w:color w:val="127EAD"/>
            <w:sz w:val="14"/>
          </w:rPr>
          <w:t>Circ.</w:t>
        </w:r>
        <w:r>
          <w:rPr>
            <w:color w:val="127EAD"/>
            <w:spacing w:val="5"/>
            <w:sz w:val="14"/>
          </w:rPr>
          <w:t> </w:t>
        </w:r>
        <w:r>
          <w:rPr>
            <w:color w:val="127EAD"/>
            <w:sz w:val="14"/>
          </w:rPr>
          <w:t>2023;32:e76–7</w:t>
        </w:r>
      </w:hyperlink>
      <w:r>
        <w:rPr>
          <w:sz w:val="14"/>
        </w:rPr>
        <w:t>.</w:t>
      </w:r>
    </w:p>
    <w:p>
      <w:pPr>
        <w:pStyle w:val="ListParagraph"/>
        <w:numPr>
          <w:ilvl w:val="3"/>
          <w:numId w:val="3"/>
        </w:numPr>
        <w:tabs>
          <w:tab w:pos="484" w:val="left" w:leader="none"/>
        </w:tabs>
        <w:spacing w:line="247" w:lineRule="auto" w:before="0" w:after="0"/>
        <w:ind w:left="483" w:right="253" w:hanging="297"/>
        <w:jc w:val="both"/>
        <w:rPr>
          <w:sz w:val="14"/>
        </w:rPr>
      </w:pPr>
      <w:hyperlink r:id="rId49">
        <w:r>
          <w:rPr>
            <w:color w:val="127EAD"/>
            <w:sz w:val="14"/>
          </w:rPr>
          <w:t>Ewing AG, Joffe D, Blitshteyn S, Brooks AES, Wist J, Bar-Yam Y, et al.</w:t>
        </w:r>
      </w:hyperlink>
      <w:r>
        <w:rPr>
          <w:color w:val="127EAD"/>
          <w:sz w:val="14"/>
        </w:rPr>
        <w:t> </w:t>
      </w:r>
      <w:hyperlink r:id="rId49">
        <w:r>
          <w:rPr>
            <w:color w:val="127EAD"/>
            <w:sz w:val="14"/>
          </w:rPr>
          <w:t>Long COVID clinical evaluation, research and impact on society: a</w:t>
        </w:r>
      </w:hyperlink>
      <w:r>
        <w:rPr>
          <w:color w:val="127EAD"/>
          <w:sz w:val="14"/>
        </w:rPr>
        <w:t> </w:t>
      </w:r>
      <w:bookmarkStart w:name="_bookmark34" w:id="61"/>
      <w:bookmarkEnd w:id="61"/>
      <w:r>
        <w:rPr>
          <w:color w:val="127EAD"/>
          <w:sz w:val="14"/>
        </w:rPr>
      </w:r>
      <w:hyperlink r:id="rId49">
        <w:r>
          <w:rPr>
            <w:color w:val="127EAD"/>
            <w:sz w:val="14"/>
          </w:rPr>
          <w:t>global expert consensus. Ann Clin Microbiol Antimicrob. </w:t>
        </w:r>
        <w:r>
          <w:rPr>
            <w:color w:val="127EAD"/>
            <w:spacing w:val="24"/>
            <w:sz w:val="14"/>
          </w:rPr>
          <w:t> </w:t>
        </w:r>
        <w:r>
          <w:rPr>
            <w:color w:val="127EAD"/>
            <w:sz w:val="14"/>
          </w:rPr>
          <w:t>2025;24:27</w:t>
        </w:r>
      </w:hyperlink>
      <w:r>
        <w:rPr>
          <w:sz w:val="14"/>
        </w:rPr>
        <w:t>.</w:t>
      </w:r>
    </w:p>
    <w:p>
      <w:pPr>
        <w:pStyle w:val="ListParagraph"/>
        <w:numPr>
          <w:ilvl w:val="3"/>
          <w:numId w:val="3"/>
        </w:numPr>
        <w:tabs>
          <w:tab w:pos="484" w:val="left" w:leader="none"/>
        </w:tabs>
        <w:spacing w:line="247" w:lineRule="auto" w:before="1" w:after="0"/>
        <w:ind w:left="483" w:right="253" w:hanging="297"/>
        <w:jc w:val="both"/>
        <w:rPr>
          <w:sz w:val="14"/>
        </w:rPr>
      </w:pPr>
      <w:hyperlink r:id="rId50">
        <w:r>
          <w:rPr>
            <w:color w:val="127EAD"/>
            <w:sz w:val="14"/>
          </w:rPr>
          <w:t>Eftekhari H, Pearce G, Staniszewska S, Seers K. Understanding the</w:t>
        </w:r>
      </w:hyperlink>
      <w:r>
        <w:rPr>
          <w:color w:val="127EAD"/>
          <w:sz w:val="14"/>
        </w:rPr>
        <w:t> </w:t>
      </w:r>
      <w:hyperlink r:id="rId50">
        <w:r>
          <w:rPr>
            <w:color w:val="127EAD"/>
            <w:sz w:val="14"/>
          </w:rPr>
          <w:t>experiences of people who have postural orthostatic tachycardia syn-</w:t>
        </w:r>
      </w:hyperlink>
      <w:r>
        <w:rPr>
          <w:color w:val="127EAD"/>
          <w:sz w:val="14"/>
        </w:rPr>
        <w:t> </w:t>
      </w:r>
      <w:hyperlink r:id="rId50">
        <w:r>
          <w:rPr>
            <w:color w:val="127EAD"/>
            <w:sz w:val="14"/>
          </w:rPr>
          <w:t>drome (POTS) and the health professionals who care for them: a</w:t>
        </w:r>
      </w:hyperlink>
      <w:r>
        <w:rPr>
          <w:color w:val="127EAD"/>
          <w:sz w:val="14"/>
        </w:rPr>
        <w:t> </w:t>
      </w:r>
      <w:bookmarkStart w:name="_bookmark35" w:id="62"/>
      <w:bookmarkEnd w:id="62"/>
      <w:r>
        <w:rPr>
          <w:color w:val="127EAD"/>
          <w:sz w:val="14"/>
        </w:rPr>
      </w:r>
      <w:hyperlink r:id="rId50">
        <w:r>
          <w:rPr>
            <w:color w:val="127EAD"/>
            <w:sz w:val="14"/>
          </w:rPr>
          <w:t>grounded theory study. Int J Nurs Stud. </w:t>
        </w:r>
        <w:r>
          <w:rPr>
            <w:color w:val="127EAD"/>
            <w:spacing w:val="26"/>
            <w:sz w:val="14"/>
          </w:rPr>
          <w:t> </w:t>
        </w:r>
        <w:r>
          <w:rPr>
            <w:color w:val="127EAD"/>
            <w:sz w:val="14"/>
          </w:rPr>
          <w:t>2025;164:104986</w:t>
        </w:r>
      </w:hyperlink>
      <w:r>
        <w:rPr>
          <w:sz w:val="14"/>
        </w:rPr>
        <w:t>.</w:t>
      </w:r>
    </w:p>
    <w:p>
      <w:pPr>
        <w:pStyle w:val="ListParagraph"/>
        <w:numPr>
          <w:ilvl w:val="3"/>
          <w:numId w:val="3"/>
        </w:numPr>
        <w:tabs>
          <w:tab w:pos="484" w:val="left" w:leader="none"/>
        </w:tabs>
        <w:spacing w:line="247" w:lineRule="auto" w:before="0" w:after="0"/>
        <w:ind w:left="483" w:right="252" w:hanging="297"/>
        <w:jc w:val="both"/>
        <w:rPr>
          <w:sz w:val="14"/>
        </w:rPr>
      </w:pPr>
      <w:hyperlink r:id="rId51">
        <w:r>
          <w:rPr>
            <w:color w:val="127EAD"/>
            <w:sz w:val="14"/>
          </w:rPr>
          <w:t>Raj SR, Bourne KM, Stiles LE, Miglis MG, Cortez MM, Miller AJ, et al.</w:t>
        </w:r>
      </w:hyperlink>
      <w:r>
        <w:rPr>
          <w:color w:val="127EAD"/>
          <w:sz w:val="14"/>
        </w:rPr>
        <w:t> </w:t>
      </w:r>
      <w:hyperlink r:id="rId51">
        <w:r>
          <w:rPr>
            <w:color w:val="127EAD"/>
            <w:sz w:val="14"/>
          </w:rPr>
          <w:t>Postural orthostatic tachycardia syndrome (POTS): priorities for POTS</w:t>
        </w:r>
      </w:hyperlink>
      <w:r>
        <w:rPr>
          <w:color w:val="127EAD"/>
          <w:sz w:val="14"/>
        </w:rPr>
        <w:t> </w:t>
      </w:r>
      <w:hyperlink r:id="rId51">
        <w:r>
          <w:rPr>
            <w:color w:val="127EAD"/>
            <w:sz w:val="14"/>
          </w:rPr>
          <w:t>care and research from a 2019 National Institutes of Health Expert</w:t>
        </w:r>
      </w:hyperlink>
      <w:r>
        <w:rPr>
          <w:color w:val="127EAD"/>
          <w:sz w:val="14"/>
        </w:rPr>
        <w:t> </w:t>
      </w:r>
      <w:hyperlink r:id="rId51">
        <w:r>
          <w:rPr>
            <w:color w:val="127EAD"/>
            <w:sz w:val="14"/>
          </w:rPr>
          <w:t>Consensus Meeting - Part 2. Auton Neurosci; </w:t>
        </w:r>
        <w:r>
          <w:rPr>
            <w:color w:val="127EAD"/>
            <w:spacing w:val="25"/>
            <w:sz w:val="14"/>
          </w:rPr>
          <w:t> </w:t>
        </w:r>
        <w:r>
          <w:rPr>
            <w:color w:val="127EAD"/>
            <w:sz w:val="14"/>
          </w:rPr>
          <w:t>2021;235:102836</w:t>
        </w:r>
      </w:hyperlink>
      <w:r>
        <w:rPr>
          <w:sz w:val="14"/>
        </w:rPr>
        <w:t>.</w:t>
      </w:r>
    </w:p>
    <w:p>
      <w:pPr>
        <w:pStyle w:val="ListParagraph"/>
        <w:numPr>
          <w:ilvl w:val="3"/>
          <w:numId w:val="3"/>
        </w:numPr>
        <w:tabs>
          <w:tab w:pos="415" w:val="left" w:leader="none"/>
        </w:tabs>
        <w:spacing w:line="247" w:lineRule="auto" w:before="103" w:after="0"/>
        <w:ind w:left="414" w:right="104" w:hanging="298"/>
        <w:jc w:val="both"/>
        <w:rPr>
          <w:sz w:val="14"/>
        </w:rPr>
      </w:pPr>
      <w:hyperlink r:id="rId52">
        <w:r>
          <w:rPr>
            <w:color w:val="127EAD"/>
            <w:w w:val="99"/>
            <w:sz w:val="14"/>
          </w:rPr>
          <w:br w:type="column"/>
        </w:r>
        <w:r>
          <w:rPr>
            <w:color w:val="127EAD"/>
            <w:sz w:val="14"/>
          </w:rPr>
          <w:t>Mayuga KA, Fedorowski A, Ricci F, Gopinathannair R, Dukes JW,</w:t>
        </w:r>
      </w:hyperlink>
      <w:r>
        <w:rPr>
          <w:color w:val="127EAD"/>
          <w:sz w:val="14"/>
        </w:rPr>
        <w:t> </w:t>
      </w:r>
      <w:hyperlink r:id="rId52">
        <w:r>
          <w:rPr>
            <w:color w:val="127EAD"/>
            <w:sz w:val="14"/>
          </w:rPr>
          <w:t>Gibbons C, et al. Sinus tachycardia: a multidisciplinary expert focused</w:t>
        </w:r>
      </w:hyperlink>
      <w:r>
        <w:rPr>
          <w:color w:val="127EAD"/>
          <w:sz w:val="14"/>
        </w:rPr>
        <w:t> </w:t>
      </w:r>
      <w:hyperlink r:id="rId52">
        <w:r>
          <w:rPr>
            <w:color w:val="127EAD"/>
            <w:sz w:val="14"/>
          </w:rPr>
          <w:t>review. Circ Arrhythm Electrophysiol.</w:t>
        </w:r>
        <w:r>
          <w:rPr>
            <w:color w:val="127EAD"/>
            <w:spacing w:val="29"/>
            <w:sz w:val="14"/>
          </w:rPr>
          <w:t> </w:t>
        </w:r>
        <w:r>
          <w:rPr>
            <w:color w:val="127EAD"/>
            <w:sz w:val="14"/>
          </w:rPr>
          <w:t>2022;15:e007960</w:t>
        </w:r>
      </w:hyperlink>
      <w:r>
        <w:rPr>
          <w:sz w:val="14"/>
        </w:rPr>
        <w:t>.</w:t>
      </w:r>
    </w:p>
    <w:p>
      <w:pPr>
        <w:pStyle w:val="ListParagraph"/>
        <w:numPr>
          <w:ilvl w:val="3"/>
          <w:numId w:val="3"/>
        </w:numPr>
        <w:tabs>
          <w:tab w:pos="415" w:val="left" w:leader="none"/>
        </w:tabs>
        <w:spacing w:line="247" w:lineRule="auto" w:before="0" w:after="0"/>
        <w:ind w:left="414" w:right="104" w:hanging="298"/>
        <w:jc w:val="both"/>
        <w:rPr>
          <w:sz w:val="14"/>
        </w:rPr>
      </w:pPr>
      <w:hyperlink r:id="rId53">
        <w:r>
          <w:rPr>
            <w:color w:val="127EAD"/>
            <w:sz w:val="14"/>
          </w:rPr>
          <w:t>Fedorowski A, Ricci F, Hamrefors V, Sandau KE, Hwan Chung T,</w:t>
        </w:r>
      </w:hyperlink>
      <w:r>
        <w:rPr>
          <w:color w:val="127EAD"/>
          <w:sz w:val="14"/>
        </w:rPr>
        <w:t> </w:t>
      </w:r>
      <w:hyperlink r:id="rId53">
        <w:r>
          <w:rPr>
            <w:color w:val="127EAD"/>
            <w:sz w:val="14"/>
          </w:rPr>
          <w:t>Muldowney JAS, et al. Orthostatic hypotension: management of a</w:t>
        </w:r>
      </w:hyperlink>
      <w:r>
        <w:rPr>
          <w:color w:val="127EAD"/>
          <w:sz w:val="14"/>
        </w:rPr>
        <w:t> </w:t>
      </w:r>
      <w:hyperlink r:id="rId53">
        <w:r>
          <w:rPr>
            <w:color w:val="127EAD"/>
            <w:sz w:val="14"/>
          </w:rPr>
          <w:t>complex, but common, medical problem. Circ Arrhythm Electro-</w:t>
        </w:r>
      </w:hyperlink>
      <w:r>
        <w:rPr>
          <w:color w:val="127EAD"/>
          <w:sz w:val="14"/>
        </w:rPr>
        <w:t> </w:t>
      </w:r>
      <w:bookmarkStart w:name="_bookmark36" w:id="63"/>
      <w:bookmarkEnd w:id="63"/>
      <w:r>
        <w:rPr>
          <w:color w:val="127EAD"/>
          <w:sz w:val="14"/>
        </w:rPr>
      </w:r>
      <w:hyperlink r:id="rId53">
        <w:r>
          <w:rPr>
            <w:color w:val="127EAD"/>
            <w:sz w:val="14"/>
          </w:rPr>
          <w:t>physiol.</w:t>
        </w:r>
        <w:r>
          <w:rPr>
            <w:color w:val="127EAD"/>
            <w:spacing w:val="4"/>
            <w:sz w:val="14"/>
          </w:rPr>
          <w:t> </w:t>
        </w:r>
        <w:r>
          <w:rPr>
            <w:color w:val="127EAD"/>
            <w:sz w:val="14"/>
          </w:rPr>
          <w:t>2022;15:e010573</w:t>
        </w:r>
      </w:hyperlink>
      <w:r>
        <w:rPr>
          <w:sz w:val="14"/>
        </w:rPr>
        <w:t>.</w:t>
      </w:r>
    </w:p>
    <w:p>
      <w:pPr>
        <w:pStyle w:val="ListParagraph"/>
        <w:numPr>
          <w:ilvl w:val="3"/>
          <w:numId w:val="3"/>
        </w:numPr>
        <w:tabs>
          <w:tab w:pos="415" w:val="left" w:leader="none"/>
        </w:tabs>
        <w:spacing w:line="247" w:lineRule="auto" w:before="0" w:after="0"/>
        <w:ind w:left="414" w:right="104" w:hanging="298"/>
        <w:jc w:val="both"/>
        <w:rPr>
          <w:sz w:val="14"/>
        </w:rPr>
      </w:pPr>
      <w:hyperlink r:id="rId54">
        <w:r>
          <w:rPr>
            <w:color w:val="127EAD"/>
            <w:sz w:val="14"/>
          </w:rPr>
          <w:t>Fedorowski A, Fanciulli A, Raj SR, Sheldon R, Shibao CA, Sutton R.</w:t>
        </w:r>
      </w:hyperlink>
      <w:r>
        <w:rPr>
          <w:color w:val="127EAD"/>
          <w:sz w:val="14"/>
        </w:rPr>
        <w:t> </w:t>
      </w:r>
      <w:hyperlink r:id="rId54">
        <w:r>
          <w:rPr>
            <w:color w:val="127EAD"/>
            <w:sz w:val="14"/>
          </w:rPr>
          <w:t>Cardiovascular autonomic dysfunction in post-COVID-19 syndrome: a</w:t>
        </w:r>
      </w:hyperlink>
      <w:r>
        <w:rPr>
          <w:color w:val="127EAD"/>
          <w:sz w:val="14"/>
        </w:rPr>
        <w:t> </w:t>
      </w:r>
      <w:bookmarkStart w:name="_bookmark37" w:id="64"/>
      <w:bookmarkEnd w:id="64"/>
      <w:r>
        <w:rPr>
          <w:color w:val="127EAD"/>
          <w:sz w:val="14"/>
        </w:rPr>
      </w:r>
      <w:hyperlink r:id="rId54">
        <w:r>
          <w:rPr>
            <w:color w:val="127EAD"/>
            <w:sz w:val="14"/>
          </w:rPr>
          <w:t>major health-care burden. Nat Rev Cardiol. </w:t>
        </w:r>
        <w:r>
          <w:rPr>
            <w:color w:val="127EAD"/>
            <w:spacing w:val="15"/>
            <w:sz w:val="14"/>
          </w:rPr>
          <w:t> </w:t>
        </w:r>
        <w:r>
          <w:rPr>
            <w:color w:val="127EAD"/>
            <w:sz w:val="14"/>
          </w:rPr>
          <w:t>2024;21:379–95</w:t>
        </w:r>
      </w:hyperlink>
      <w:r>
        <w:rPr>
          <w:sz w:val="14"/>
        </w:rPr>
        <w:t>.</w:t>
      </w:r>
    </w:p>
    <w:p>
      <w:pPr>
        <w:pStyle w:val="ListParagraph"/>
        <w:numPr>
          <w:ilvl w:val="3"/>
          <w:numId w:val="3"/>
        </w:numPr>
        <w:tabs>
          <w:tab w:pos="415" w:val="left" w:leader="none"/>
        </w:tabs>
        <w:spacing w:line="247" w:lineRule="auto" w:before="0" w:after="0"/>
        <w:ind w:left="414" w:right="105" w:hanging="298"/>
        <w:jc w:val="both"/>
        <w:rPr>
          <w:sz w:val="14"/>
        </w:rPr>
      </w:pPr>
      <w:hyperlink r:id="rId55">
        <w:r>
          <w:rPr>
            <w:color w:val="127EAD"/>
            <w:sz w:val="14"/>
          </w:rPr>
          <w:t>Fedorowski A. Postural orthostatic tachycardia syndrome: clinical pre-</w:t>
        </w:r>
      </w:hyperlink>
      <w:r>
        <w:rPr>
          <w:color w:val="127EAD"/>
          <w:sz w:val="14"/>
        </w:rPr>
        <w:t> </w:t>
      </w:r>
      <w:hyperlink r:id="rId55">
        <w:r>
          <w:rPr>
            <w:color w:val="127EAD"/>
            <w:sz w:val="14"/>
          </w:rPr>
          <w:t>sentation,</w:t>
        </w:r>
        <w:r>
          <w:rPr>
            <w:color w:val="127EAD"/>
            <w:spacing w:val="-9"/>
            <w:sz w:val="14"/>
          </w:rPr>
          <w:t> </w:t>
        </w:r>
        <w:r>
          <w:rPr>
            <w:color w:val="127EAD"/>
            <w:sz w:val="14"/>
          </w:rPr>
          <w:t>aetiology</w:t>
        </w:r>
        <w:r>
          <w:rPr>
            <w:color w:val="127EAD"/>
            <w:spacing w:val="-9"/>
            <w:sz w:val="14"/>
          </w:rPr>
          <w:t> </w:t>
        </w:r>
        <w:r>
          <w:rPr>
            <w:color w:val="127EAD"/>
            <w:sz w:val="14"/>
          </w:rPr>
          <w:t>and</w:t>
        </w:r>
        <w:r>
          <w:rPr>
            <w:color w:val="127EAD"/>
            <w:spacing w:val="-9"/>
            <w:sz w:val="14"/>
          </w:rPr>
          <w:t> </w:t>
        </w:r>
        <w:r>
          <w:rPr>
            <w:color w:val="127EAD"/>
            <w:sz w:val="14"/>
          </w:rPr>
          <w:t>management.</w:t>
        </w:r>
        <w:r>
          <w:rPr>
            <w:color w:val="127EAD"/>
            <w:spacing w:val="-9"/>
            <w:sz w:val="14"/>
          </w:rPr>
          <w:t> </w:t>
        </w:r>
        <w:r>
          <w:rPr>
            <w:color w:val="127EAD"/>
            <w:sz w:val="14"/>
          </w:rPr>
          <w:t>J</w:t>
        </w:r>
        <w:r>
          <w:rPr>
            <w:color w:val="127EAD"/>
            <w:spacing w:val="-9"/>
            <w:sz w:val="14"/>
          </w:rPr>
          <w:t> </w:t>
        </w:r>
        <w:r>
          <w:rPr>
            <w:color w:val="127EAD"/>
            <w:sz w:val="14"/>
          </w:rPr>
          <w:t>Intern</w:t>
        </w:r>
        <w:r>
          <w:rPr>
            <w:color w:val="127EAD"/>
            <w:spacing w:val="-9"/>
            <w:sz w:val="14"/>
          </w:rPr>
          <w:t> </w:t>
        </w:r>
        <w:r>
          <w:rPr>
            <w:color w:val="127EAD"/>
            <w:sz w:val="14"/>
          </w:rPr>
          <w:t>Med.</w:t>
        </w:r>
        <w:r>
          <w:rPr>
            <w:color w:val="127EAD"/>
            <w:spacing w:val="-9"/>
            <w:sz w:val="14"/>
          </w:rPr>
          <w:t> </w:t>
        </w:r>
        <w:r>
          <w:rPr>
            <w:color w:val="127EAD"/>
            <w:sz w:val="14"/>
          </w:rPr>
          <w:t>2019;285:352–66</w:t>
        </w:r>
      </w:hyperlink>
      <w:r>
        <w:rPr>
          <w:sz w:val="14"/>
        </w:rPr>
        <w:t>.</w:t>
      </w:r>
    </w:p>
    <w:p>
      <w:pPr>
        <w:pStyle w:val="ListParagraph"/>
        <w:numPr>
          <w:ilvl w:val="3"/>
          <w:numId w:val="3"/>
        </w:numPr>
        <w:tabs>
          <w:tab w:pos="415" w:val="left" w:leader="none"/>
        </w:tabs>
        <w:spacing w:line="247" w:lineRule="auto" w:before="1" w:after="0"/>
        <w:ind w:left="414" w:right="104" w:hanging="298"/>
        <w:jc w:val="both"/>
        <w:rPr>
          <w:sz w:val="14"/>
        </w:rPr>
      </w:pPr>
      <w:hyperlink r:id="rId56">
        <w:r>
          <w:rPr>
            <w:color w:val="127EAD"/>
            <w:sz w:val="14"/>
          </w:rPr>
          <w:t>Olshansky</w:t>
        </w:r>
        <w:r>
          <w:rPr>
            <w:color w:val="127EAD"/>
            <w:spacing w:val="-6"/>
            <w:sz w:val="14"/>
          </w:rPr>
          <w:t> </w:t>
        </w:r>
        <w:r>
          <w:rPr>
            <w:color w:val="127EAD"/>
            <w:sz w:val="14"/>
          </w:rPr>
          <w:t>B,</w:t>
        </w:r>
        <w:r>
          <w:rPr>
            <w:color w:val="127EAD"/>
            <w:spacing w:val="-5"/>
            <w:sz w:val="14"/>
          </w:rPr>
          <w:t> </w:t>
        </w:r>
        <w:r>
          <w:rPr>
            <w:color w:val="127EAD"/>
            <w:sz w:val="14"/>
          </w:rPr>
          <w:t>Cannom</w:t>
        </w:r>
        <w:r>
          <w:rPr>
            <w:color w:val="127EAD"/>
            <w:spacing w:val="-5"/>
            <w:sz w:val="14"/>
          </w:rPr>
          <w:t> </w:t>
        </w:r>
        <w:r>
          <w:rPr>
            <w:color w:val="127EAD"/>
            <w:sz w:val="14"/>
          </w:rPr>
          <w:t>D,</w:t>
        </w:r>
        <w:r>
          <w:rPr>
            <w:color w:val="127EAD"/>
            <w:spacing w:val="-6"/>
            <w:sz w:val="14"/>
          </w:rPr>
          <w:t> </w:t>
        </w:r>
        <w:r>
          <w:rPr>
            <w:color w:val="127EAD"/>
            <w:sz w:val="14"/>
          </w:rPr>
          <w:t>Fedorowski</w:t>
        </w:r>
        <w:r>
          <w:rPr>
            <w:color w:val="127EAD"/>
            <w:spacing w:val="-5"/>
            <w:sz w:val="14"/>
          </w:rPr>
          <w:t> </w:t>
        </w:r>
        <w:r>
          <w:rPr>
            <w:color w:val="127EAD"/>
            <w:sz w:val="14"/>
          </w:rPr>
          <w:t>A,</w:t>
        </w:r>
        <w:r>
          <w:rPr>
            <w:color w:val="127EAD"/>
            <w:spacing w:val="-5"/>
            <w:sz w:val="14"/>
          </w:rPr>
          <w:t> </w:t>
        </w:r>
        <w:r>
          <w:rPr>
            <w:color w:val="127EAD"/>
            <w:sz w:val="14"/>
          </w:rPr>
          <w:t>Stewart</w:t>
        </w:r>
        <w:r>
          <w:rPr>
            <w:color w:val="127EAD"/>
            <w:spacing w:val="-6"/>
            <w:sz w:val="14"/>
          </w:rPr>
          <w:t> </w:t>
        </w:r>
        <w:r>
          <w:rPr>
            <w:color w:val="127EAD"/>
            <w:sz w:val="14"/>
          </w:rPr>
          <w:t>J,</w:t>
        </w:r>
        <w:r>
          <w:rPr>
            <w:color w:val="127EAD"/>
            <w:spacing w:val="-4"/>
            <w:sz w:val="14"/>
          </w:rPr>
          <w:t> </w:t>
        </w:r>
        <w:r>
          <w:rPr>
            <w:color w:val="127EAD"/>
            <w:sz w:val="14"/>
          </w:rPr>
          <w:t>Gibbons</w:t>
        </w:r>
        <w:r>
          <w:rPr>
            <w:color w:val="127EAD"/>
            <w:spacing w:val="-5"/>
            <w:sz w:val="14"/>
          </w:rPr>
          <w:t> </w:t>
        </w:r>
        <w:r>
          <w:rPr>
            <w:color w:val="127EAD"/>
            <w:sz w:val="14"/>
          </w:rPr>
          <w:t>C,</w:t>
        </w:r>
        <w:r>
          <w:rPr>
            <w:color w:val="127EAD"/>
            <w:spacing w:val="-6"/>
            <w:sz w:val="14"/>
          </w:rPr>
          <w:t> </w:t>
        </w:r>
        <w:r>
          <w:rPr>
            <w:color w:val="127EAD"/>
            <w:sz w:val="14"/>
          </w:rPr>
          <w:t>Sutton</w:t>
        </w:r>
        <w:r>
          <w:rPr>
            <w:color w:val="127EAD"/>
            <w:spacing w:val="-5"/>
            <w:sz w:val="14"/>
          </w:rPr>
          <w:t> </w:t>
        </w:r>
        <w:r>
          <w:rPr>
            <w:color w:val="127EAD"/>
            <w:sz w:val="14"/>
          </w:rPr>
          <w:t>R,</w:t>
        </w:r>
      </w:hyperlink>
      <w:r>
        <w:rPr>
          <w:color w:val="127EAD"/>
          <w:sz w:val="14"/>
        </w:rPr>
        <w:t> </w:t>
      </w:r>
      <w:hyperlink r:id="rId56">
        <w:r>
          <w:rPr>
            <w:color w:val="127EAD"/>
            <w:sz w:val="14"/>
          </w:rPr>
          <w:t>et al. Postural orthostatic tachycardia syndrome (POTS): a critical</w:t>
        </w:r>
      </w:hyperlink>
      <w:r>
        <w:rPr>
          <w:color w:val="127EAD"/>
          <w:sz w:val="14"/>
        </w:rPr>
        <w:t> </w:t>
      </w:r>
      <w:bookmarkStart w:name="_bookmark38" w:id="65"/>
      <w:bookmarkEnd w:id="65"/>
      <w:r>
        <w:rPr>
          <w:color w:val="127EAD"/>
          <w:sz w:val="14"/>
        </w:rPr>
      </w:r>
      <w:hyperlink r:id="rId56">
        <w:r>
          <w:rPr>
            <w:color w:val="127EAD"/>
            <w:sz w:val="14"/>
          </w:rPr>
          <w:t>assessment. Prog Cardiovasc Dis.</w:t>
        </w:r>
        <w:r>
          <w:rPr>
            <w:color w:val="127EAD"/>
            <w:spacing w:val="32"/>
            <w:sz w:val="14"/>
          </w:rPr>
          <w:t> </w:t>
        </w:r>
        <w:r>
          <w:rPr>
            <w:color w:val="127EAD"/>
            <w:sz w:val="14"/>
          </w:rPr>
          <w:t>2020;63:263–70</w:t>
        </w:r>
      </w:hyperlink>
      <w:r>
        <w:rPr>
          <w:sz w:val="14"/>
        </w:rPr>
        <w:t>.</w:t>
      </w:r>
    </w:p>
    <w:p>
      <w:pPr>
        <w:pStyle w:val="ListParagraph"/>
        <w:numPr>
          <w:ilvl w:val="3"/>
          <w:numId w:val="3"/>
        </w:numPr>
        <w:tabs>
          <w:tab w:pos="415" w:val="left" w:leader="none"/>
        </w:tabs>
        <w:spacing w:line="247" w:lineRule="auto" w:before="0" w:after="0"/>
        <w:ind w:left="414" w:right="104" w:hanging="298"/>
        <w:jc w:val="both"/>
        <w:rPr>
          <w:sz w:val="14"/>
        </w:rPr>
      </w:pPr>
      <w:hyperlink r:id="rId57">
        <w:r>
          <w:rPr>
            <w:color w:val="127EAD"/>
            <w:sz w:val="14"/>
          </w:rPr>
          <w:t>Fedorowski A, Li H, Yu X, Koelsch KA, Harris VM, Liles C, et al.</w:t>
        </w:r>
      </w:hyperlink>
      <w:r>
        <w:rPr>
          <w:color w:val="127EAD"/>
          <w:sz w:val="14"/>
        </w:rPr>
        <w:t> </w:t>
      </w:r>
      <w:hyperlink r:id="rId57">
        <w:r>
          <w:rPr>
            <w:color w:val="127EAD"/>
            <w:sz w:val="14"/>
          </w:rPr>
          <w:t>Antiadrenergic autoimmunity in postural tachycardia syndrome.</w:t>
        </w:r>
      </w:hyperlink>
      <w:r>
        <w:rPr>
          <w:color w:val="127EAD"/>
          <w:sz w:val="14"/>
        </w:rPr>
        <w:t> </w:t>
      </w:r>
      <w:bookmarkStart w:name="_bookmark39" w:id="66"/>
      <w:bookmarkEnd w:id="66"/>
      <w:r>
        <w:rPr>
          <w:color w:val="127EAD"/>
          <w:sz w:val="14"/>
        </w:rPr>
      </w:r>
      <w:hyperlink r:id="rId57">
        <w:r>
          <w:rPr>
            <w:color w:val="127EAD"/>
            <w:sz w:val="14"/>
          </w:rPr>
          <w:t>Europace.</w:t>
        </w:r>
        <w:r>
          <w:rPr>
            <w:color w:val="127EAD"/>
            <w:spacing w:val="4"/>
            <w:sz w:val="14"/>
          </w:rPr>
          <w:t> </w:t>
        </w:r>
        <w:r>
          <w:rPr>
            <w:color w:val="127EAD"/>
            <w:sz w:val="14"/>
          </w:rPr>
          <w:t>2017;19:1211–9</w:t>
        </w:r>
      </w:hyperlink>
      <w:r>
        <w:rPr>
          <w:sz w:val="14"/>
        </w:rPr>
        <w:t>.</w:t>
      </w:r>
    </w:p>
    <w:p>
      <w:pPr>
        <w:pStyle w:val="ListParagraph"/>
        <w:numPr>
          <w:ilvl w:val="3"/>
          <w:numId w:val="3"/>
        </w:numPr>
        <w:tabs>
          <w:tab w:pos="415" w:val="left" w:leader="none"/>
        </w:tabs>
        <w:spacing w:line="247" w:lineRule="auto" w:before="0" w:after="0"/>
        <w:ind w:left="414" w:right="104" w:hanging="298"/>
        <w:jc w:val="both"/>
        <w:rPr>
          <w:sz w:val="14"/>
        </w:rPr>
      </w:pPr>
      <w:hyperlink r:id="rId58">
        <w:r>
          <w:rPr>
            <w:color w:val="127EAD"/>
            <w:sz w:val="14"/>
          </w:rPr>
          <w:t>Yu X, Li H, Murphy TA, Nuss Z, Liles J, Liles C, et al. Angiotensin II</w:t>
        </w:r>
      </w:hyperlink>
      <w:r>
        <w:rPr>
          <w:color w:val="127EAD"/>
          <w:sz w:val="14"/>
        </w:rPr>
        <w:t> </w:t>
      </w:r>
      <w:hyperlink r:id="rId58">
        <w:r>
          <w:rPr>
            <w:color w:val="127EAD"/>
            <w:sz w:val="14"/>
          </w:rPr>
          <w:t>Type 1 receptor autoantibodies in postural tachycardia syndrome. J</w:t>
        </w:r>
        <w:r>
          <w:rPr>
            <w:color w:val="127EAD"/>
            <w:spacing w:val="-23"/>
            <w:sz w:val="14"/>
          </w:rPr>
          <w:t> </w:t>
        </w:r>
        <w:r>
          <w:rPr>
            <w:color w:val="127EAD"/>
            <w:sz w:val="14"/>
          </w:rPr>
          <w:t>Am</w:t>
        </w:r>
      </w:hyperlink>
      <w:r>
        <w:rPr>
          <w:color w:val="127EAD"/>
          <w:sz w:val="14"/>
        </w:rPr>
        <w:t> </w:t>
      </w:r>
      <w:bookmarkStart w:name="_bookmark40" w:id="67"/>
      <w:bookmarkEnd w:id="67"/>
      <w:r>
        <w:rPr>
          <w:color w:val="127EAD"/>
          <w:sz w:val="14"/>
        </w:rPr>
      </w:r>
      <w:hyperlink r:id="rId58">
        <w:r>
          <w:rPr>
            <w:color w:val="127EAD"/>
            <w:sz w:val="14"/>
          </w:rPr>
          <w:t>Heart Assoc.</w:t>
        </w:r>
        <w:r>
          <w:rPr>
            <w:color w:val="127EAD"/>
            <w:spacing w:val="13"/>
            <w:sz w:val="14"/>
          </w:rPr>
          <w:t> </w:t>
        </w:r>
        <w:r>
          <w:rPr>
            <w:color w:val="127EAD"/>
            <w:sz w:val="14"/>
          </w:rPr>
          <w:t>2018;7:e008351</w:t>
        </w:r>
      </w:hyperlink>
      <w:r>
        <w:rPr>
          <w:sz w:val="14"/>
        </w:rPr>
        <w:t>.</w:t>
      </w:r>
    </w:p>
    <w:p>
      <w:pPr>
        <w:pStyle w:val="ListParagraph"/>
        <w:numPr>
          <w:ilvl w:val="3"/>
          <w:numId w:val="3"/>
        </w:numPr>
        <w:tabs>
          <w:tab w:pos="415" w:val="left" w:leader="none"/>
        </w:tabs>
        <w:spacing w:line="247" w:lineRule="auto" w:before="0" w:after="0"/>
        <w:ind w:left="414" w:right="104" w:hanging="298"/>
        <w:jc w:val="both"/>
        <w:rPr>
          <w:sz w:val="14"/>
        </w:rPr>
      </w:pPr>
      <w:hyperlink r:id="rId59">
        <w:r>
          <w:rPr>
            <w:color w:val="127EAD"/>
            <w:sz w:val="14"/>
          </w:rPr>
          <w:t>Blitshteyn S. Neuroinflammation at the dorsolateral inferior medulla:</w:t>
        </w:r>
        <w:r>
          <w:rPr>
            <w:color w:val="127EAD"/>
            <w:spacing w:val="-16"/>
            <w:sz w:val="14"/>
          </w:rPr>
          <w:t> </w:t>
        </w:r>
        <w:r>
          <w:rPr>
            <w:color w:val="127EAD"/>
            <w:sz w:val="14"/>
          </w:rPr>
          <w:t>A</w:t>
        </w:r>
      </w:hyperlink>
      <w:r>
        <w:rPr>
          <w:color w:val="127EAD"/>
          <w:sz w:val="14"/>
        </w:rPr>
        <w:t> </w:t>
      </w:r>
      <w:hyperlink r:id="rId59">
        <w:r>
          <w:rPr>
            <w:color w:val="127EAD"/>
            <w:sz w:val="14"/>
          </w:rPr>
          <w:t>possible</w:t>
        </w:r>
        <w:r>
          <w:rPr>
            <w:color w:val="127EAD"/>
            <w:spacing w:val="-3"/>
            <w:sz w:val="14"/>
          </w:rPr>
          <w:t> </w:t>
        </w:r>
        <w:r>
          <w:rPr>
            <w:color w:val="127EAD"/>
            <w:sz w:val="14"/>
          </w:rPr>
          <w:t>central</w:t>
        </w:r>
        <w:r>
          <w:rPr>
            <w:color w:val="127EAD"/>
            <w:spacing w:val="-4"/>
            <w:sz w:val="14"/>
          </w:rPr>
          <w:t> </w:t>
        </w:r>
        <w:r>
          <w:rPr>
            <w:color w:val="127EAD"/>
            <w:sz w:val="14"/>
          </w:rPr>
          <w:t>nervous</w:t>
        </w:r>
        <w:r>
          <w:rPr>
            <w:color w:val="127EAD"/>
            <w:spacing w:val="-4"/>
            <w:sz w:val="14"/>
          </w:rPr>
          <w:t> </w:t>
        </w:r>
        <w:r>
          <w:rPr>
            <w:color w:val="127EAD"/>
            <w:sz w:val="14"/>
          </w:rPr>
          <w:t>system</w:t>
        </w:r>
        <w:r>
          <w:rPr>
            <w:color w:val="127EAD"/>
            <w:spacing w:val="-4"/>
            <w:sz w:val="14"/>
          </w:rPr>
          <w:t> </w:t>
        </w:r>
        <w:r>
          <w:rPr>
            <w:color w:val="127EAD"/>
            <w:sz w:val="14"/>
          </w:rPr>
          <w:t>localization</w:t>
        </w:r>
        <w:r>
          <w:rPr>
            <w:color w:val="127EAD"/>
            <w:spacing w:val="-4"/>
            <w:sz w:val="14"/>
          </w:rPr>
          <w:t> </w:t>
        </w:r>
        <w:r>
          <w:rPr>
            <w:color w:val="127EAD"/>
            <w:sz w:val="14"/>
          </w:rPr>
          <w:t>for</w:t>
        </w:r>
        <w:r>
          <w:rPr>
            <w:color w:val="127EAD"/>
            <w:spacing w:val="-3"/>
            <w:sz w:val="14"/>
          </w:rPr>
          <w:t> </w:t>
        </w:r>
        <w:r>
          <w:rPr>
            <w:color w:val="127EAD"/>
            <w:sz w:val="14"/>
          </w:rPr>
          <w:t>POTS</w:t>
        </w:r>
        <w:r>
          <w:rPr>
            <w:color w:val="127EAD"/>
            <w:spacing w:val="-3"/>
            <w:sz w:val="14"/>
          </w:rPr>
          <w:t> </w:t>
        </w:r>
        <w:r>
          <w:rPr>
            <w:color w:val="127EAD"/>
            <w:sz w:val="14"/>
          </w:rPr>
          <w:t>and</w:t>
        </w:r>
        <w:r>
          <w:rPr>
            <w:color w:val="127EAD"/>
            <w:spacing w:val="-4"/>
            <w:sz w:val="14"/>
          </w:rPr>
          <w:t> </w:t>
        </w:r>
        <w:r>
          <w:rPr>
            <w:color w:val="127EAD"/>
            <w:sz w:val="14"/>
          </w:rPr>
          <w:t>long</w:t>
        </w:r>
        <w:r>
          <w:rPr>
            <w:color w:val="127EAD"/>
            <w:spacing w:val="-3"/>
            <w:sz w:val="14"/>
          </w:rPr>
          <w:t> </w:t>
        </w:r>
        <w:r>
          <w:rPr>
            <w:color w:val="127EAD"/>
            <w:sz w:val="14"/>
          </w:rPr>
          <w:t>COVID.</w:t>
        </w:r>
      </w:hyperlink>
      <w:r>
        <w:rPr>
          <w:color w:val="127EAD"/>
          <w:sz w:val="14"/>
        </w:rPr>
        <w:t> </w:t>
      </w:r>
      <w:bookmarkStart w:name="_bookmark41" w:id="68"/>
      <w:bookmarkEnd w:id="68"/>
      <w:r>
        <w:rPr>
          <w:color w:val="127EAD"/>
          <w:sz w:val="14"/>
        </w:rPr>
      </w:r>
      <w:hyperlink r:id="rId59">
        <w:r>
          <w:rPr>
            <w:color w:val="127EAD"/>
            <w:sz w:val="14"/>
          </w:rPr>
          <w:t>Biomedicines.</w:t>
        </w:r>
        <w:r>
          <w:rPr>
            <w:color w:val="127EAD"/>
            <w:spacing w:val="5"/>
            <w:sz w:val="14"/>
          </w:rPr>
          <w:t> </w:t>
        </w:r>
        <w:r>
          <w:rPr>
            <w:color w:val="127EAD"/>
            <w:sz w:val="14"/>
          </w:rPr>
          <w:t>2025;13:166</w:t>
        </w:r>
      </w:hyperlink>
      <w:r>
        <w:rPr>
          <w:sz w:val="14"/>
        </w:rPr>
        <w:t>.</w:t>
      </w:r>
    </w:p>
    <w:p>
      <w:pPr>
        <w:pStyle w:val="ListParagraph"/>
        <w:numPr>
          <w:ilvl w:val="3"/>
          <w:numId w:val="3"/>
        </w:numPr>
        <w:tabs>
          <w:tab w:pos="415" w:val="left" w:leader="none"/>
        </w:tabs>
        <w:spacing w:line="247" w:lineRule="auto" w:before="0" w:after="0"/>
        <w:ind w:left="414" w:right="104" w:hanging="298"/>
        <w:jc w:val="both"/>
        <w:rPr>
          <w:sz w:val="14"/>
        </w:rPr>
      </w:pPr>
      <w:hyperlink r:id="rId60">
        <w:r>
          <w:rPr>
            <w:color w:val="127EAD"/>
            <w:sz w:val="14"/>
          </w:rPr>
          <w:t>Mahdi A, Zhao A, Fredengren E, Fedorowski A, Braunschweig F,</w:t>
        </w:r>
      </w:hyperlink>
      <w:r>
        <w:rPr>
          <w:color w:val="127EAD"/>
          <w:sz w:val="14"/>
        </w:rPr>
        <w:t> </w:t>
      </w:r>
      <w:hyperlink r:id="rId60">
        <w:r>
          <w:rPr>
            <w:color w:val="127EAD"/>
            <w:sz w:val="14"/>
          </w:rPr>
          <w:t>Nygren-Bonnier M, et al. Dysregulations in hemostasis, metabolism,</w:t>
        </w:r>
      </w:hyperlink>
      <w:r>
        <w:rPr>
          <w:color w:val="127EAD"/>
          <w:sz w:val="14"/>
        </w:rPr>
        <w:t> </w:t>
      </w:r>
      <w:hyperlink r:id="rId60">
        <w:r>
          <w:rPr>
            <w:color w:val="127EAD"/>
            <w:sz w:val="14"/>
          </w:rPr>
          <w:t>immune response, and angiogenesis in post-acute COVID-19</w:t>
        </w:r>
        <w:r>
          <w:rPr>
            <w:color w:val="127EAD"/>
            <w:spacing w:val="-19"/>
            <w:sz w:val="14"/>
          </w:rPr>
          <w:t> </w:t>
        </w:r>
        <w:r>
          <w:rPr>
            <w:color w:val="127EAD"/>
            <w:sz w:val="14"/>
          </w:rPr>
          <w:t>syndrome</w:t>
        </w:r>
      </w:hyperlink>
      <w:r>
        <w:rPr>
          <w:color w:val="127EAD"/>
          <w:sz w:val="14"/>
        </w:rPr>
        <w:t> </w:t>
      </w:r>
      <w:hyperlink r:id="rId60">
        <w:r>
          <w:rPr>
            <w:color w:val="127EAD"/>
            <w:sz w:val="14"/>
          </w:rPr>
          <w:t>with and without postural orthostatic tachycardia syndrome: a multi-</w:t>
        </w:r>
      </w:hyperlink>
      <w:r>
        <w:rPr>
          <w:color w:val="127EAD"/>
          <w:sz w:val="14"/>
        </w:rPr>
        <w:t> </w:t>
      </w:r>
      <w:bookmarkStart w:name="_bookmark42" w:id="69"/>
      <w:bookmarkEnd w:id="69"/>
      <w:r>
        <w:rPr>
          <w:color w:val="127EAD"/>
          <w:sz w:val="14"/>
        </w:rPr>
      </w:r>
      <w:hyperlink r:id="rId60">
        <w:r>
          <w:rPr>
            <w:color w:val="127EAD"/>
            <w:sz w:val="14"/>
          </w:rPr>
          <w:t>omic profiling study. Sci Rep. </w:t>
        </w:r>
        <w:r>
          <w:rPr>
            <w:color w:val="127EAD"/>
            <w:spacing w:val="4"/>
            <w:sz w:val="14"/>
          </w:rPr>
          <w:t> </w:t>
        </w:r>
        <w:r>
          <w:rPr>
            <w:color w:val="127EAD"/>
            <w:sz w:val="14"/>
          </w:rPr>
          <w:t>2023;13:20230</w:t>
        </w:r>
      </w:hyperlink>
      <w:r>
        <w:rPr>
          <w:sz w:val="14"/>
        </w:rPr>
        <w:t>.</w:t>
      </w:r>
    </w:p>
    <w:p>
      <w:pPr>
        <w:pStyle w:val="ListParagraph"/>
        <w:numPr>
          <w:ilvl w:val="3"/>
          <w:numId w:val="3"/>
        </w:numPr>
        <w:tabs>
          <w:tab w:pos="415" w:val="left" w:leader="none"/>
        </w:tabs>
        <w:spacing w:line="247" w:lineRule="auto" w:before="0" w:after="0"/>
        <w:ind w:left="414" w:right="104" w:hanging="298"/>
        <w:jc w:val="both"/>
        <w:rPr>
          <w:sz w:val="14"/>
        </w:rPr>
      </w:pPr>
      <w:hyperlink r:id="rId61">
        <w:r>
          <w:rPr>
            <w:color w:val="127EAD"/>
            <w:sz w:val="14"/>
          </w:rPr>
          <w:t>Garland EM, Gamboa A, Nwazue VC, Celedonio JE, Paranjape SY,</w:t>
        </w:r>
      </w:hyperlink>
      <w:r>
        <w:rPr>
          <w:color w:val="127EAD"/>
          <w:sz w:val="14"/>
        </w:rPr>
        <w:t> </w:t>
      </w:r>
      <w:hyperlink r:id="rId61">
        <w:r>
          <w:rPr>
            <w:color w:val="127EAD"/>
            <w:sz w:val="14"/>
          </w:rPr>
          <w:t>Black BK, et al. Effect of high dietary sodium intake in patients with</w:t>
        </w:r>
      </w:hyperlink>
      <w:r>
        <w:rPr>
          <w:color w:val="127EAD"/>
          <w:sz w:val="14"/>
        </w:rPr>
        <w:t> </w:t>
      </w:r>
      <w:bookmarkStart w:name="_bookmark43" w:id="70"/>
      <w:bookmarkEnd w:id="70"/>
      <w:r>
        <w:rPr>
          <w:color w:val="127EAD"/>
          <w:sz w:val="14"/>
        </w:rPr>
      </w:r>
      <w:hyperlink r:id="rId61">
        <w:r>
          <w:rPr>
            <w:color w:val="127EAD"/>
            <w:sz w:val="14"/>
          </w:rPr>
          <w:t>postural tachycardia syndrome. J Am Coll Cardiol. </w:t>
        </w:r>
        <w:r>
          <w:rPr>
            <w:color w:val="127EAD"/>
            <w:spacing w:val="25"/>
            <w:sz w:val="14"/>
          </w:rPr>
          <w:t> </w:t>
        </w:r>
        <w:r>
          <w:rPr>
            <w:color w:val="127EAD"/>
            <w:sz w:val="14"/>
          </w:rPr>
          <w:t>2021;77:2174–84</w:t>
        </w:r>
      </w:hyperlink>
      <w:r>
        <w:rPr>
          <w:sz w:val="14"/>
        </w:rPr>
        <w:t>.</w:t>
      </w:r>
    </w:p>
    <w:p>
      <w:pPr>
        <w:pStyle w:val="ListParagraph"/>
        <w:numPr>
          <w:ilvl w:val="3"/>
          <w:numId w:val="3"/>
        </w:numPr>
        <w:tabs>
          <w:tab w:pos="415" w:val="left" w:leader="none"/>
        </w:tabs>
        <w:spacing w:line="247" w:lineRule="auto" w:before="1" w:after="0"/>
        <w:ind w:left="414" w:right="104" w:hanging="298"/>
        <w:jc w:val="both"/>
        <w:rPr>
          <w:sz w:val="14"/>
        </w:rPr>
      </w:pPr>
      <w:hyperlink r:id="rId62">
        <w:r>
          <w:rPr>
            <w:color w:val="127EAD"/>
            <w:sz w:val="14"/>
          </w:rPr>
          <w:t>Mustafa HI, Garland EM, Biaggioni I, Black BK, Dupont  WD,</w:t>
        </w:r>
      </w:hyperlink>
      <w:r>
        <w:rPr>
          <w:color w:val="127EAD"/>
          <w:sz w:val="14"/>
        </w:rPr>
        <w:t> </w:t>
      </w:r>
      <w:hyperlink r:id="rId62">
        <w:r>
          <w:rPr>
            <w:color w:val="127EAD"/>
            <w:sz w:val="14"/>
          </w:rPr>
          <w:t>Robertson D, et al. Abnormalities of angiotensin regulation in postural</w:t>
        </w:r>
      </w:hyperlink>
      <w:r>
        <w:rPr>
          <w:color w:val="127EAD"/>
          <w:sz w:val="14"/>
        </w:rPr>
        <w:t> </w:t>
      </w:r>
      <w:bookmarkStart w:name="_bookmark44" w:id="71"/>
      <w:bookmarkEnd w:id="71"/>
      <w:r>
        <w:rPr>
          <w:color w:val="127EAD"/>
          <w:sz w:val="14"/>
        </w:rPr>
      </w:r>
      <w:hyperlink r:id="rId62">
        <w:r>
          <w:rPr>
            <w:color w:val="127EAD"/>
            <w:sz w:val="14"/>
          </w:rPr>
          <w:t>tachycardia syndrome. Heart Rhythm.</w:t>
        </w:r>
        <w:r>
          <w:rPr>
            <w:color w:val="127EAD"/>
            <w:spacing w:val="30"/>
            <w:sz w:val="14"/>
          </w:rPr>
          <w:t> </w:t>
        </w:r>
        <w:r>
          <w:rPr>
            <w:color w:val="127EAD"/>
            <w:sz w:val="14"/>
          </w:rPr>
          <w:t>2011;8:422–8</w:t>
        </w:r>
      </w:hyperlink>
      <w:r>
        <w:rPr>
          <w:sz w:val="14"/>
        </w:rPr>
        <w:t>.</w:t>
      </w:r>
    </w:p>
    <w:p>
      <w:pPr>
        <w:pStyle w:val="ListParagraph"/>
        <w:numPr>
          <w:ilvl w:val="3"/>
          <w:numId w:val="3"/>
        </w:numPr>
        <w:tabs>
          <w:tab w:pos="415" w:val="left" w:leader="none"/>
        </w:tabs>
        <w:spacing w:line="247" w:lineRule="auto" w:before="0" w:after="0"/>
        <w:ind w:left="414" w:right="104" w:hanging="298"/>
        <w:jc w:val="both"/>
        <w:rPr>
          <w:sz w:val="14"/>
        </w:rPr>
      </w:pPr>
      <w:hyperlink r:id="rId63">
        <w:r>
          <w:rPr>
            <w:color w:val="127EAD"/>
            <w:sz w:val="14"/>
          </w:rPr>
          <w:t>Spahic JM, Mattisson IY, Hamrefors V, Johansson M, Ricci F, Nilsson J,</w:t>
        </w:r>
      </w:hyperlink>
      <w:r>
        <w:rPr>
          <w:color w:val="127EAD"/>
          <w:sz w:val="14"/>
        </w:rPr>
        <w:t> </w:t>
      </w:r>
      <w:hyperlink r:id="rId63">
        <w:r>
          <w:rPr>
            <w:color w:val="127EAD"/>
            <w:sz w:val="14"/>
          </w:rPr>
          <w:t>et al. Evidence for impaired renin activity in postural orthostatic</w:t>
        </w:r>
      </w:hyperlink>
      <w:r>
        <w:rPr>
          <w:color w:val="127EAD"/>
          <w:sz w:val="14"/>
        </w:rPr>
        <w:t> </w:t>
      </w:r>
      <w:bookmarkStart w:name="_bookmark45" w:id="72"/>
      <w:bookmarkEnd w:id="72"/>
      <w:r>
        <w:rPr>
          <w:color w:val="127EAD"/>
          <w:sz w:val="14"/>
        </w:rPr>
      </w:r>
      <w:hyperlink r:id="rId63">
        <w:r>
          <w:rPr>
            <w:color w:val="127EAD"/>
            <w:sz w:val="14"/>
          </w:rPr>
          <w:t>tachycardia syndrome. J Clin Med. </w:t>
        </w:r>
        <w:r>
          <w:rPr>
            <w:color w:val="127EAD"/>
            <w:spacing w:val="8"/>
            <w:sz w:val="14"/>
          </w:rPr>
          <w:t> </w:t>
        </w:r>
        <w:r>
          <w:rPr>
            <w:color w:val="127EAD"/>
            <w:sz w:val="14"/>
          </w:rPr>
          <w:t>2023;12:4660</w:t>
        </w:r>
      </w:hyperlink>
      <w:r>
        <w:rPr>
          <w:sz w:val="14"/>
        </w:rPr>
        <w:t>.</w:t>
      </w:r>
    </w:p>
    <w:p>
      <w:pPr>
        <w:pStyle w:val="ListParagraph"/>
        <w:numPr>
          <w:ilvl w:val="3"/>
          <w:numId w:val="3"/>
        </w:numPr>
        <w:tabs>
          <w:tab w:pos="415" w:val="left" w:leader="none"/>
        </w:tabs>
        <w:spacing w:line="247" w:lineRule="auto" w:before="1" w:after="0"/>
        <w:ind w:left="414" w:right="104" w:hanging="298"/>
        <w:jc w:val="both"/>
        <w:rPr>
          <w:sz w:val="14"/>
        </w:rPr>
      </w:pPr>
      <w:hyperlink r:id="rId64">
        <w:r>
          <w:rPr>
            <w:color w:val="127EAD"/>
            <w:sz w:val="14"/>
          </w:rPr>
          <w:t>Okamoto</w:t>
        </w:r>
        <w:r>
          <w:rPr>
            <w:color w:val="127EAD"/>
            <w:spacing w:val="-4"/>
            <w:sz w:val="14"/>
          </w:rPr>
          <w:t> </w:t>
        </w:r>
        <w:r>
          <w:rPr>
            <w:color w:val="127EAD"/>
            <w:sz w:val="14"/>
          </w:rPr>
          <w:t>LE,</w:t>
        </w:r>
        <w:r>
          <w:rPr>
            <w:color w:val="127EAD"/>
            <w:spacing w:val="-5"/>
            <w:sz w:val="14"/>
          </w:rPr>
          <w:t> </w:t>
        </w:r>
        <w:r>
          <w:rPr>
            <w:color w:val="127EAD"/>
            <w:sz w:val="14"/>
          </w:rPr>
          <w:t>Urechie</w:t>
        </w:r>
        <w:r>
          <w:rPr>
            <w:color w:val="127EAD"/>
            <w:spacing w:val="-4"/>
            <w:sz w:val="14"/>
          </w:rPr>
          <w:t> </w:t>
        </w:r>
        <w:r>
          <w:rPr>
            <w:color w:val="127EAD"/>
            <w:sz w:val="14"/>
          </w:rPr>
          <w:t>V,</w:t>
        </w:r>
        <w:r>
          <w:rPr>
            <w:color w:val="127EAD"/>
            <w:spacing w:val="-4"/>
            <w:sz w:val="14"/>
          </w:rPr>
          <w:t> </w:t>
        </w:r>
        <w:r>
          <w:rPr>
            <w:color w:val="127EAD"/>
            <w:sz w:val="14"/>
          </w:rPr>
          <w:t>Rigo</w:t>
        </w:r>
        <w:r>
          <w:rPr>
            <w:color w:val="127EAD"/>
            <w:spacing w:val="-4"/>
            <w:sz w:val="14"/>
          </w:rPr>
          <w:t> </w:t>
        </w:r>
        <w:r>
          <w:rPr>
            <w:color w:val="127EAD"/>
            <w:sz w:val="14"/>
          </w:rPr>
          <w:t>S,</w:t>
        </w:r>
        <w:r>
          <w:rPr>
            <w:color w:val="127EAD"/>
            <w:spacing w:val="-4"/>
            <w:sz w:val="14"/>
          </w:rPr>
          <w:t> </w:t>
        </w:r>
        <w:r>
          <w:rPr>
            <w:color w:val="127EAD"/>
            <w:sz w:val="14"/>
          </w:rPr>
          <w:t>Abner</w:t>
        </w:r>
        <w:r>
          <w:rPr>
            <w:color w:val="127EAD"/>
            <w:spacing w:val="-4"/>
            <w:sz w:val="14"/>
          </w:rPr>
          <w:t> </w:t>
        </w:r>
        <w:r>
          <w:rPr>
            <w:color w:val="127EAD"/>
            <w:sz w:val="14"/>
          </w:rPr>
          <w:t>JJ,</w:t>
        </w:r>
        <w:r>
          <w:rPr>
            <w:color w:val="127EAD"/>
            <w:spacing w:val="-3"/>
            <w:sz w:val="14"/>
          </w:rPr>
          <w:t> </w:t>
        </w:r>
        <w:r>
          <w:rPr>
            <w:color w:val="127EAD"/>
            <w:sz w:val="14"/>
          </w:rPr>
          <w:t>Giesecke</w:t>
        </w:r>
        <w:r>
          <w:rPr>
            <w:color w:val="127EAD"/>
            <w:spacing w:val="-4"/>
            <w:sz w:val="14"/>
          </w:rPr>
          <w:t> </w:t>
        </w:r>
        <w:r>
          <w:rPr>
            <w:color w:val="127EAD"/>
            <w:sz w:val="14"/>
          </w:rPr>
          <w:t>M,</w:t>
        </w:r>
        <w:r>
          <w:rPr>
            <w:color w:val="127EAD"/>
            <w:spacing w:val="-5"/>
            <w:sz w:val="14"/>
          </w:rPr>
          <w:t> </w:t>
        </w:r>
        <w:r>
          <w:rPr>
            <w:color w:val="127EAD"/>
            <w:sz w:val="14"/>
          </w:rPr>
          <w:t>Muldowney</w:t>
        </w:r>
        <w:r>
          <w:rPr>
            <w:color w:val="127EAD"/>
            <w:spacing w:val="-4"/>
            <w:sz w:val="14"/>
          </w:rPr>
          <w:t> </w:t>
        </w:r>
        <w:r>
          <w:rPr>
            <w:color w:val="127EAD"/>
            <w:sz w:val="14"/>
          </w:rPr>
          <w:t>JAS,</w:t>
        </w:r>
      </w:hyperlink>
      <w:r>
        <w:rPr>
          <w:color w:val="127EAD"/>
          <w:sz w:val="14"/>
        </w:rPr>
        <w:t> </w:t>
      </w:r>
      <w:hyperlink r:id="rId64">
        <w:r>
          <w:rPr>
            <w:color w:val="127EAD"/>
            <w:sz w:val="14"/>
          </w:rPr>
          <w:t>et al. Hyperadrenergic postural tachycardia syndrome: clinical bio-</w:t>
        </w:r>
      </w:hyperlink>
      <w:r>
        <w:rPr>
          <w:color w:val="127EAD"/>
          <w:sz w:val="14"/>
        </w:rPr>
        <w:t> </w:t>
      </w:r>
      <w:bookmarkStart w:name="_bookmark46" w:id="73"/>
      <w:bookmarkEnd w:id="73"/>
      <w:r>
        <w:rPr>
          <w:color w:val="127EAD"/>
          <w:sz w:val="14"/>
        </w:rPr>
      </w:r>
      <w:hyperlink r:id="rId64">
        <w:r>
          <w:rPr>
            <w:color w:val="127EAD"/>
            <w:sz w:val="14"/>
          </w:rPr>
          <w:t>markers and response to guanfacine. Hypertension. </w:t>
        </w:r>
        <w:r>
          <w:rPr>
            <w:color w:val="127EAD"/>
            <w:spacing w:val="13"/>
            <w:sz w:val="14"/>
          </w:rPr>
          <w:t> </w:t>
        </w:r>
        <w:r>
          <w:rPr>
            <w:color w:val="127EAD"/>
            <w:sz w:val="14"/>
          </w:rPr>
          <w:t>2024;81:2237–47</w:t>
        </w:r>
      </w:hyperlink>
      <w:r>
        <w:rPr>
          <w:sz w:val="14"/>
        </w:rPr>
        <w:t>.</w:t>
      </w:r>
    </w:p>
    <w:p>
      <w:pPr>
        <w:pStyle w:val="ListParagraph"/>
        <w:numPr>
          <w:ilvl w:val="3"/>
          <w:numId w:val="3"/>
        </w:numPr>
        <w:tabs>
          <w:tab w:pos="415" w:val="left" w:leader="none"/>
        </w:tabs>
        <w:spacing w:line="247" w:lineRule="auto" w:before="0" w:after="0"/>
        <w:ind w:left="414" w:right="104" w:hanging="298"/>
        <w:jc w:val="both"/>
        <w:rPr>
          <w:sz w:val="14"/>
        </w:rPr>
      </w:pPr>
      <w:hyperlink r:id="rId65">
        <w:r>
          <w:rPr>
            <w:color w:val="127EAD"/>
            <w:sz w:val="14"/>
          </w:rPr>
          <w:t>Kulapatana</w:t>
        </w:r>
        <w:r>
          <w:rPr>
            <w:color w:val="127EAD"/>
            <w:spacing w:val="-4"/>
            <w:sz w:val="14"/>
          </w:rPr>
          <w:t> </w:t>
        </w:r>
        <w:r>
          <w:rPr>
            <w:color w:val="127EAD"/>
            <w:sz w:val="14"/>
          </w:rPr>
          <w:t>S,</w:t>
        </w:r>
        <w:r>
          <w:rPr>
            <w:color w:val="127EAD"/>
            <w:spacing w:val="-4"/>
            <w:sz w:val="14"/>
          </w:rPr>
          <w:t> </w:t>
        </w:r>
        <w:r>
          <w:rPr>
            <w:color w:val="127EAD"/>
            <w:sz w:val="14"/>
          </w:rPr>
          <w:t>Urechie</w:t>
        </w:r>
        <w:r>
          <w:rPr>
            <w:color w:val="127EAD"/>
            <w:spacing w:val="-4"/>
            <w:sz w:val="14"/>
          </w:rPr>
          <w:t> </w:t>
        </w:r>
        <w:r>
          <w:rPr>
            <w:color w:val="127EAD"/>
            <w:sz w:val="14"/>
          </w:rPr>
          <w:t>V,</w:t>
        </w:r>
        <w:r>
          <w:rPr>
            <w:color w:val="127EAD"/>
            <w:spacing w:val="-4"/>
            <w:sz w:val="14"/>
          </w:rPr>
          <w:t> </w:t>
        </w:r>
        <w:r>
          <w:rPr>
            <w:color w:val="127EAD"/>
            <w:sz w:val="14"/>
          </w:rPr>
          <w:t>Rigo</w:t>
        </w:r>
        <w:r>
          <w:rPr>
            <w:color w:val="127EAD"/>
            <w:spacing w:val="-4"/>
            <w:sz w:val="14"/>
          </w:rPr>
          <w:t> </w:t>
        </w:r>
        <w:r>
          <w:rPr>
            <w:color w:val="127EAD"/>
            <w:sz w:val="14"/>
          </w:rPr>
          <w:t>S,</w:t>
        </w:r>
        <w:r>
          <w:rPr>
            <w:color w:val="127EAD"/>
            <w:spacing w:val="-4"/>
            <w:sz w:val="14"/>
          </w:rPr>
          <w:t> </w:t>
        </w:r>
        <w:r>
          <w:rPr>
            <w:color w:val="127EAD"/>
            <w:sz w:val="14"/>
          </w:rPr>
          <w:t>Mohr</w:t>
        </w:r>
        <w:r>
          <w:rPr>
            <w:color w:val="127EAD"/>
            <w:spacing w:val="-4"/>
            <w:sz w:val="14"/>
          </w:rPr>
          <w:t> </w:t>
        </w:r>
        <w:r>
          <w:rPr>
            <w:color w:val="127EAD"/>
            <w:sz w:val="14"/>
          </w:rPr>
          <w:t>A,</w:t>
        </w:r>
        <w:r>
          <w:rPr>
            <w:color w:val="127EAD"/>
            <w:spacing w:val="-4"/>
            <w:sz w:val="14"/>
          </w:rPr>
          <w:t> </w:t>
        </w:r>
        <w:r>
          <w:rPr>
            <w:color w:val="127EAD"/>
            <w:sz w:val="14"/>
          </w:rPr>
          <w:t>Vance</w:t>
        </w:r>
        <w:r>
          <w:rPr>
            <w:color w:val="127EAD"/>
            <w:spacing w:val="-4"/>
            <w:sz w:val="14"/>
          </w:rPr>
          <w:t> </w:t>
        </w:r>
        <w:r>
          <w:rPr>
            <w:color w:val="127EAD"/>
            <w:sz w:val="14"/>
          </w:rPr>
          <w:t>YA,</w:t>
        </w:r>
        <w:r>
          <w:rPr>
            <w:color w:val="127EAD"/>
            <w:spacing w:val="-4"/>
            <w:sz w:val="14"/>
          </w:rPr>
          <w:t> </w:t>
        </w:r>
        <w:r>
          <w:rPr>
            <w:color w:val="127EAD"/>
            <w:sz w:val="14"/>
          </w:rPr>
          <w:t>Okamoto</w:t>
        </w:r>
        <w:r>
          <w:rPr>
            <w:color w:val="127EAD"/>
            <w:spacing w:val="-4"/>
            <w:sz w:val="14"/>
          </w:rPr>
          <w:t> </w:t>
        </w:r>
        <w:r>
          <w:rPr>
            <w:color w:val="127EAD"/>
            <w:sz w:val="14"/>
          </w:rPr>
          <w:t>LE,</w:t>
        </w:r>
        <w:r>
          <w:rPr>
            <w:color w:val="127EAD"/>
            <w:spacing w:val="-5"/>
            <w:sz w:val="14"/>
          </w:rPr>
          <w:t> </w:t>
        </w:r>
        <w:r>
          <w:rPr>
            <w:color w:val="127EAD"/>
            <w:sz w:val="14"/>
          </w:rPr>
          <w:t>et</w:t>
        </w:r>
        <w:r>
          <w:rPr>
            <w:color w:val="127EAD"/>
            <w:spacing w:val="-3"/>
            <w:sz w:val="14"/>
          </w:rPr>
          <w:t> </w:t>
        </w:r>
        <w:r>
          <w:rPr>
            <w:color w:val="127EAD"/>
            <w:sz w:val="14"/>
          </w:rPr>
          <w:t>al.</w:t>
        </w:r>
      </w:hyperlink>
      <w:r>
        <w:rPr>
          <w:color w:val="127EAD"/>
          <w:sz w:val="14"/>
        </w:rPr>
        <w:t> </w:t>
      </w:r>
      <w:hyperlink r:id="rId65">
        <w:r>
          <w:rPr>
            <w:color w:val="127EAD"/>
            <w:sz w:val="14"/>
          </w:rPr>
          <w:t>Blood volume deficit in postural orthostatic tachycardia syndrome</w:t>
        </w:r>
      </w:hyperlink>
      <w:r>
        <w:rPr>
          <w:color w:val="127EAD"/>
          <w:sz w:val="14"/>
        </w:rPr>
        <w:t> </w:t>
      </w:r>
      <w:hyperlink r:id="rId65">
        <w:r>
          <w:rPr>
            <w:color w:val="127EAD"/>
            <w:sz w:val="14"/>
          </w:rPr>
          <w:t>assessed by semiautomated carbon monoxide rebreathing. Clin Auton</w:t>
        </w:r>
      </w:hyperlink>
      <w:r>
        <w:rPr>
          <w:color w:val="127EAD"/>
          <w:sz w:val="14"/>
        </w:rPr>
        <w:t> </w:t>
      </w:r>
      <w:bookmarkStart w:name="_bookmark47" w:id="74"/>
      <w:bookmarkEnd w:id="74"/>
      <w:r>
        <w:rPr>
          <w:color w:val="127EAD"/>
          <w:sz w:val="14"/>
        </w:rPr>
      </w:r>
      <w:hyperlink r:id="rId65">
        <w:r>
          <w:rPr>
            <w:color w:val="127EAD"/>
            <w:sz w:val="14"/>
          </w:rPr>
          <w:t>Res.</w:t>
        </w:r>
        <w:r>
          <w:rPr>
            <w:color w:val="127EAD"/>
            <w:spacing w:val="5"/>
            <w:sz w:val="14"/>
          </w:rPr>
          <w:t> </w:t>
        </w:r>
        <w:r>
          <w:rPr>
            <w:color w:val="127EAD"/>
            <w:sz w:val="14"/>
          </w:rPr>
          <w:t>2025;35:267–76</w:t>
        </w:r>
      </w:hyperlink>
      <w:r>
        <w:rPr>
          <w:sz w:val="14"/>
        </w:rPr>
        <w:t>.</w:t>
      </w:r>
    </w:p>
    <w:p>
      <w:pPr>
        <w:pStyle w:val="ListParagraph"/>
        <w:numPr>
          <w:ilvl w:val="3"/>
          <w:numId w:val="3"/>
        </w:numPr>
        <w:tabs>
          <w:tab w:pos="415" w:val="left" w:leader="none"/>
        </w:tabs>
        <w:spacing w:line="247" w:lineRule="auto" w:before="0" w:after="0"/>
        <w:ind w:left="414" w:right="105" w:hanging="298"/>
        <w:jc w:val="both"/>
        <w:rPr>
          <w:sz w:val="14"/>
        </w:rPr>
      </w:pPr>
      <w:hyperlink r:id="rId66">
        <w:r>
          <w:rPr>
            <w:color w:val="127EAD"/>
            <w:sz w:val="14"/>
          </w:rPr>
          <w:t>Johansson M, Ståhlberg M, Ricci  F,  Lewinter  C,  Hamrefors  V,</w:t>
        </w:r>
      </w:hyperlink>
      <w:r>
        <w:rPr>
          <w:color w:val="127EAD"/>
          <w:sz w:val="14"/>
        </w:rPr>
        <w:t> </w:t>
      </w:r>
      <w:hyperlink r:id="rId66">
        <w:r>
          <w:rPr>
            <w:color w:val="127EAD"/>
            <w:sz w:val="14"/>
          </w:rPr>
          <w:t>Nilsson PM, et al. Blood pressure regulation in post-COVID POTS:</w:t>
        </w:r>
      </w:hyperlink>
      <w:r>
        <w:rPr>
          <w:color w:val="127EAD"/>
          <w:sz w:val="14"/>
        </w:rPr>
        <w:t> </w:t>
      </w:r>
      <w:bookmarkStart w:name="_bookmark48" w:id="75"/>
      <w:bookmarkEnd w:id="75"/>
      <w:r>
        <w:rPr>
          <w:color w:val="127EAD"/>
          <w:sz w:val="14"/>
        </w:rPr>
      </w:r>
      <w:hyperlink r:id="rId66">
        <w:r>
          <w:rPr>
            <w:color w:val="127EAD"/>
            <w:sz w:val="14"/>
          </w:rPr>
          <w:t>beyond sinus tachycardia. Hypertension.</w:t>
        </w:r>
        <w:r>
          <w:rPr>
            <w:color w:val="127EAD"/>
            <w:spacing w:val="30"/>
            <w:sz w:val="14"/>
          </w:rPr>
          <w:t> </w:t>
        </w:r>
        <w:r>
          <w:rPr>
            <w:color w:val="127EAD"/>
            <w:sz w:val="14"/>
          </w:rPr>
          <w:t>2024;81:2540–8</w:t>
        </w:r>
      </w:hyperlink>
      <w:r>
        <w:rPr>
          <w:sz w:val="14"/>
        </w:rPr>
        <w:t>.</w:t>
      </w:r>
    </w:p>
    <w:p>
      <w:pPr>
        <w:pStyle w:val="ListParagraph"/>
        <w:numPr>
          <w:ilvl w:val="3"/>
          <w:numId w:val="3"/>
        </w:numPr>
        <w:tabs>
          <w:tab w:pos="415" w:val="left" w:leader="none"/>
        </w:tabs>
        <w:spacing w:line="247" w:lineRule="auto" w:before="0" w:after="0"/>
        <w:ind w:left="414" w:right="104" w:hanging="298"/>
        <w:jc w:val="both"/>
        <w:rPr>
          <w:sz w:val="14"/>
        </w:rPr>
      </w:pPr>
      <w:hyperlink r:id="rId67">
        <w:r>
          <w:rPr>
            <w:color w:val="127EAD"/>
            <w:sz w:val="14"/>
          </w:rPr>
          <w:t>Mahdi A, Lodin K, Reistam U, Fedorowski A, Nygren-Bonnier M,</w:t>
        </w:r>
      </w:hyperlink>
      <w:r>
        <w:rPr>
          <w:color w:val="127EAD"/>
          <w:sz w:val="14"/>
        </w:rPr>
        <w:t> </w:t>
      </w:r>
      <w:hyperlink r:id="rId67">
        <w:r>
          <w:rPr>
            <w:color w:val="127EAD"/>
            <w:sz w:val="14"/>
          </w:rPr>
          <w:t>Runold M, et al. Microvasular dysfunction and reduced cardiac stress</w:t>
        </w:r>
      </w:hyperlink>
      <w:r>
        <w:rPr>
          <w:color w:val="127EAD"/>
          <w:sz w:val="14"/>
        </w:rPr>
        <w:t> </w:t>
      </w:r>
      <w:hyperlink r:id="rId67">
        <w:r>
          <w:rPr>
            <w:color w:val="127EAD"/>
            <w:sz w:val="14"/>
          </w:rPr>
          <w:t>reactivity in postural orthostatic tachycardia associated with postacute</w:t>
        </w:r>
      </w:hyperlink>
      <w:r>
        <w:rPr>
          <w:color w:val="127EAD"/>
          <w:sz w:val="14"/>
        </w:rPr>
        <w:t> </w:t>
      </w:r>
      <w:bookmarkStart w:name="_bookmark49" w:id="76"/>
      <w:bookmarkEnd w:id="76"/>
      <w:r>
        <w:rPr>
          <w:color w:val="127EAD"/>
          <w:sz w:val="14"/>
        </w:rPr>
      </w:r>
      <w:hyperlink r:id="rId67">
        <w:r>
          <w:rPr>
            <w:color w:val="127EAD"/>
            <w:sz w:val="14"/>
          </w:rPr>
          <w:t>COVID-19. Circ Arrhythm Electrophysiol.</w:t>
        </w:r>
        <w:r>
          <w:rPr>
            <w:color w:val="127EAD"/>
            <w:spacing w:val="29"/>
            <w:sz w:val="14"/>
          </w:rPr>
          <w:t> </w:t>
        </w:r>
        <w:r>
          <w:rPr>
            <w:color w:val="127EAD"/>
            <w:sz w:val="14"/>
          </w:rPr>
          <w:t>2023;16:413–4</w:t>
        </w:r>
      </w:hyperlink>
      <w:r>
        <w:rPr>
          <w:sz w:val="14"/>
        </w:rPr>
        <w:t>.</w:t>
      </w:r>
    </w:p>
    <w:p>
      <w:pPr>
        <w:pStyle w:val="ListParagraph"/>
        <w:numPr>
          <w:ilvl w:val="3"/>
          <w:numId w:val="3"/>
        </w:numPr>
        <w:tabs>
          <w:tab w:pos="415" w:val="left" w:leader="none"/>
        </w:tabs>
        <w:spacing w:line="247" w:lineRule="auto" w:before="0" w:after="0"/>
        <w:ind w:left="414" w:right="104" w:hanging="298"/>
        <w:jc w:val="both"/>
        <w:rPr>
          <w:sz w:val="14"/>
        </w:rPr>
      </w:pPr>
      <w:hyperlink r:id="rId68">
        <w:r>
          <w:rPr>
            <w:color w:val="127EAD"/>
            <w:sz w:val="14"/>
          </w:rPr>
          <w:t>Ståhlberg M, Fischer K, Tahhan M, Zhao A, Fedorowski A, Runold M,</w:t>
        </w:r>
      </w:hyperlink>
      <w:r>
        <w:rPr>
          <w:color w:val="127EAD"/>
          <w:sz w:val="14"/>
        </w:rPr>
        <w:t> </w:t>
      </w:r>
      <w:hyperlink r:id="rId68">
        <w:r>
          <w:rPr>
            <w:color w:val="127EAD"/>
            <w:sz w:val="14"/>
          </w:rPr>
          <w:t>et al. Post-acute COVID-19 syndrome: prevalence of peripheral</w:t>
        </w:r>
      </w:hyperlink>
      <w:r>
        <w:rPr>
          <w:color w:val="127EAD"/>
          <w:sz w:val="14"/>
        </w:rPr>
        <w:t> </w:t>
      </w:r>
      <w:hyperlink r:id="rId68">
        <w:r>
          <w:rPr>
            <w:color w:val="127EAD"/>
            <w:sz w:val="14"/>
          </w:rPr>
          <w:t>microvascular endothelial dysfunction and associations with NT-</w:t>
        </w:r>
      </w:hyperlink>
      <w:r>
        <w:rPr>
          <w:color w:val="127EAD"/>
          <w:sz w:val="14"/>
        </w:rPr>
        <w:t> </w:t>
      </w:r>
      <w:bookmarkStart w:name="_bookmark50" w:id="77"/>
      <w:bookmarkEnd w:id="77"/>
      <w:r>
        <w:rPr>
          <w:color w:val="127EAD"/>
          <w:sz w:val="14"/>
        </w:rPr>
      </w:r>
      <w:hyperlink r:id="rId68">
        <w:r>
          <w:rPr>
            <w:color w:val="127EAD"/>
            <w:sz w:val="14"/>
          </w:rPr>
          <w:t>ProBNP dynamics. Am J Med. </w:t>
        </w:r>
        <w:r>
          <w:rPr>
            <w:color w:val="127EAD"/>
            <w:spacing w:val="6"/>
            <w:sz w:val="14"/>
          </w:rPr>
          <w:t> </w:t>
        </w:r>
        <w:r>
          <w:rPr>
            <w:color w:val="127EAD"/>
            <w:sz w:val="14"/>
          </w:rPr>
          <w:t>2025;138:1019–28</w:t>
        </w:r>
      </w:hyperlink>
      <w:r>
        <w:rPr>
          <w:sz w:val="14"/>
        </w:rPr>
        <w:t>.</w:t>
      </w:r>
    </w:p>
    <w:p>
      <w:pPr>
        <w:pStyle w:val="ListParagraph"/>
        <w:numPr>
          <w:ilvl w:val="3"/>
          <w:numId w:val="3"/>
        </w:numPr>
        <w:tabs>
          <w:tab w:pos="415" w:val="left" w:leader="none"/>
        </w:tabs>
        <w:spacing w:line="247" w:lineRule="auto" w:before="0" w:after="0"/>
        <w:ind w:left="414" w:right="103" w:hanging="298"/>
        <w:jc w:val="both"/>
        <w:rPr>
          <w:sz w:val="14"/>
        </w:rPr>
      </w:pPr>
      <w:hyperlink r:id="rId69">
        <w:r>
          <w:rPr>
            <w:color w:val="127EAD"/>
            <w:sz w:val="14"/>
          </w:rPr>
          <w:t>Spahic JM, Hamrefors V, Johansson M, Ricci F, Melander O, Sutton R,</w:t>
        </w:r>
      </w:hyperlink>
      <w:r>
        <w:rPr>
          <w:color w:val="127EAD"/>
          <w:sz w:val="14"/>
        </w:rPr>
        <w:t> </w:t>
      </w:r>
      <w:hyperlink r:id="rId69">
        <w:r>
          <w:rPr>
            <w:color w:val="127EAD"/>
            <w:sz w:val="14"/>
          </w:rPr>
          <w:t>et  al.  Malmö  POTS  symptom  score:  assessing  symptom  burden</w:t>
        </w:r>
      </w:hyperlink>
      <w:r>
        <w:rPr>
          <w:color w:val="127EAD"/>
          <w:sz w:val="14"/>
        </w:rPr>
        <w:t>    </w:t>
      </w:r>
      <w:hyperlink r:id="rId69">
        <w:r>
          <w:rPr>
            <w:color w:val="127EAD"/>
            <w:sz w:val="14"/>
          </w:rPr>
          <w:t>in postural orthostatic tachycardia syndrome. J Intern Med.</w:t>
        </w:r>
      </w:hyperlink>
      <w:r>
        <w:rPr>
          <w:color w:val="127EAD"/>
          <w:sz w:val="14"/>
        </w:rPr>
        <w:t> </w:t>
      </w:r>
      <w:bookmarkStart w:name="_bookmark51" w:id="78"/>
      <w:bookmarkEnd w:id="78"/>
      <w:r>
        <w:rPr>
          <w:color w:val="127EAD"/>
          <w:sz w:val="14"/>
        </w:rPr>
      </w:r>
      <w:hyperlink r:id="rId69">
        <w:r>
          <w:rPr>
            <w:color w:val="127EAD"/>
            <w:sz w:val="14"/>
          </w:rPr>
          <w:t>2023;293:91–9</w:t>
        </w:r>
      </w:hyperlink>
      <w:r>
        <w:rPr>
          <w:sz w:val="14"/>
        </w:rPr>
        <w:t>.</w:t>
      </w:r>
    </w:p>
    <w:p>
      <w:pPr>
        <w:pStyle w:val="ListParagraph"/>
        <w:numPr>
          <w:ilvl w:val="3"/>
          <w:numId w:val="3"/>
        </w:numPr>
        <w:tabs>
          <w:tab w:pos="415" w:val="left" w:leader="none"/>
        </w:tabs>
        <w:spacing w:line="247" w:lineRule="auto" w:before="0" w:after="0"/>
        <w:ind w:left="414" w:right="104" w:hanging="298"/>
        <w:jc w:val="both"/>
        <w:rPr>
          <w:sz w:val="14"/>
        </w:rPr>
      </w:pPr>
      <w:hyperlink r:id="rId70">
        <w:r>
          <w:rPr>
            <w:color w:val="127EAD"/>
            <w:sz w:val="14"/>
          </w:rPr>
          <w:t>Fu Q, Vangundy TB, Galbreath MM, Shibata S, Jain M, Hastings JL,</w:t>
        </w:r>
      </w:hyperlink>
      <w:r>
        <w:rPr>
          <w:color w:val="127EAD"/>
          <w:sz w:val="14"/>
        </w:rPr>
        <w:t>      </w:t>
      </w:r>
      <w:hyperlink r:id="rId70">
        <w:r>
          <w:rPr>
            <w:color w:val="127EAD"/>
            <w:sz w:val="14"/>
          </w:rPr>
          <w:t>et al. Cardiac origins of the postural orthostatic tachycardia syndrome.</w:t>
        </w:r>
      </w:hyperlink>
      <w:r>
        <w:rPr>
          <w:color w:val="127EAD"/>
          <w:sz w:val="14"/>
        </w:rPr>
        <w:t>  </w:t>
      </w:r>
      <w:bookmarkStart w:name="_bookmark52" w:id="79"/>
      <w:bookmarkEnd w:id="79"/>
      <w:r>
        <w:rPr>
          <w:color w:val="127EAD"/>
          <w:sz w:val="14"/>
        </w:rPr>
      </w:r>
      <w:hyperlink r:id="rId70">
        <w:r>
          <w:rPr>
            <w:color w:val="127EAD"/>
            <w:sz w:val="14"/>
          </w:rPr>
          <w:t>J Am Coll Cardiol.</w:t>
        </w:r>
        <w:r>
          <w:rPr>
            <w:color w:val="127EAD"/>
            <w:spacing w:val="34"/>
            <w:sz w:val="14"/>
          </w:rPr>
          <w:t> </w:t>
        </w:r>
        <w:r>
          <w:rPr>
            <w:color w:val="127EAD"/>
            <w:sz w:val="14"/>
          </w:rPr>
          <w:t>2010;55:2858–68</w:t>
        </w:r>
      </w:hyperlink>
      <w:r>
        <w:rPr>
          <w:sz w:val="14"/>
        </w:rPr>
        <w:t>.</w:t>
      </w:r>
    </w:p>
    <w:p>
      <w:pPr>
        <w:pStyle w:val="ListParagraph"/>
        <w:numPr>
          <w:ilvl w:val="3"/>
          <w:numId w:val="3"/>
        </w:numPr>
        <w:tabs>
          <w:tab w:pos="415" w:val="left" w:leader="none"/>
        </w:tabs>
        <w:spacing w:line="247" w:lineRule="auto" w:before="0" w:after="0"/>
        <w:ind w:left="414" w:right="104" w:hanging="298"/>
        <w:jc w:val="both"/>
        <w:rPr>
          <w:sz w:val="14"/>
        </w:rPr>
      </w:pPr>
      <w:hyperlink r:id="rId71">
        <w:r>
          <w:rPr>
            <w:color w:val="127EAD"/>
            <w:sz w:val="14"/>
          </w:rPr>
          <w:t>Parsaik A, Allison TG, Singer W, Sletten DM, Joyner MJ, Benarroch EE,</w:t>
        </w:r>
      </w:hyperlink>
      <w:r>
        <w:rPr>
          <w:color w:val="127EAD"/>
          <w:sz w:val="14"/>
        </w:rPr>
        <w:t> </w:t>
      </w:r>
      <w:hyperlink r:id="rId71">
        <w:r>
          <w:rPr>
            <w:color w:val="127EAD"/>
            <w:sz w:val="14"/>
          </w:rPr>
          <w:t>et al. Deconditioning in patients with orthostatic intolerance.</w:t>
        </w:r>
      </w:hyperlink>
      <w:r>
        <w:rPr>
          <w:color w:val="127EAD"/>
          <w:sz w:val="14"/>
        </w:rPr>
        <w:t> </w:t>
      </w:r>
      <w:bookmarkStart w:name="_bookmark53" w:id="80"/>
      <w:bookmarkEnd w:id="80"/>
      <w:r>
        <w:rPr>
          <w:color w:val="127EAD"/>
          <w:sz w:val="14"/>
        </w:rPr>
      </w:r>
      <w:hyperlink r:id="rId71">
        <w:r>
          <w:rPr>
            <w:color w:val="127EAD"/>
            <w:sz w:val="14"/>
          </w:rPr>
          <w:t>Neurology.</w:t>
        </w:r>
        <w:r>
          <w:rPr>
            <w:color w:val="127EAD"/>
            <w:spacing w:val="3"/>
            <w:sz w:val="14"/>
          </w:rPr>
          <w:t> </w:t>
        </w:r>
        <w:r>
          <w:rPr>
            <w:color w:val="127EAD"/>
            <w:sz w:val="14"/>
          </w:rPr>
          <w:t>2012;79:1435–9</w:t>
        </w:r>
      </w:hyperlink>
      <w:r>
        <w:rPr>
          <w:sz w:val="14"/>
        </w:rPr>
        <w:t>.</w:t>
      </w:r>
    </w:p>
    <w:p>
      <w:pPr>
        <w:pStyle w:val="ListParagraph"/>
        <w:numPr>
          <w:ilvl w:val="3"/>
          <w:numId w:val="3"/>
        </w:numPr>
        <w:tabs>
          <w:tab w:pos="415" w:val="left" w:leader="none"/>
        </w:tabs>
        <w:spacing w:line="247" w:lineRule="auto" w:before="0" w:after="0"/>
        <w:ind w:left="414" w:right="104" w:hanging="298"/>
        <w:jc w:val="both"/>
        <w:rPr>
          <w:sz w:val="14"/>
        </w:rPr>
      </w:pPr>
      <w:hyperlink r:id="rId72">
        <w:r>
          <w:rPr>
            <w:color w:val="127EAD"/>
            <w:sz w:val="14"/>
          </w:rPr>
          <w:t>Oldham WM, Lewis GD, Opotowsky AR, Waxman AB, Systrom DM.</w:t>
        </w:r>
      </w:hyperlink>
      <w:r>
        <w:rPr>
          <w:color w:val="127EAD"/>
          <w:sz w:val="14"/>
        </w:rPr>
        <w:t> </w:t>
      </w:r>
      <w:hyperlink r:id="rId72">
        <w:r>
          <w:rPr>
            <w:color w:val="127EAD"/>
            <w:sz w:val="14"/>
          </w:rPr>
          <w:t>Unexplained exertional dyspnea caused by low ventricular filling</w:t>
        </w:r>
      </w:hyperlink>
      <w:r>
        <w:rPr>
          <w:color w:val="127EAD"/>
          <w:sz w:val="14"/>
        </w:rPr>
        <w:t> </w:t>
      </w:r>
      <w:hyperlink r:id="rId72">
        <w:r>
          <w:rPr>
            <w:color w:val="127EAD"/>
            <w:sz w:val="14"/>
          </w:rPr>
          <w:t>pressures: results from clinical invasive cardiopulmonary exercise</w:t>
        </w:r>
      </w:hyperlink>
      <w:r>
        <w:rPr>
          <w:color w:val="127EAD"/>
          <w:sz w:val="14"/>
        </w:rPr>
        <w:t> </w:t>
      </w:r>
      <w:bookmarkStart w:name="_bookmark54" w:id="81"/>
      <w:bookmarkEnd w:id="81"/>
      <w:r>
        <w:rPr>
          <w:color w:val="127EAD"/>
          <w:sz w:val="14"/>
        </w:rPr>
      </w:r>
      <w:hyperlink r:id="rId72">
        <w:r>
          <w:rPr>
            <w:color w:val="127EAD"/>
            <w:sz w:val="14"/>
          </w:rPr>
          <w:t>testing. Pulm Circ.</w:t>
        </w:r>
        <w:r>
          <w:rPr>
            <w:color w:val="127EAD"/>
            <w:spacing w:val="23"/>
            <w:sz w:val="14"/>
          </w:rPr>
          <w:t> </w:t>
        </w:r>
        <w:r>
          <w:rPr>
            <w:color w:val="127EAD"/>
            <w:sz w:val="14"/>
          </w:rPr>
          <w:t>2016;6:55–62</w:t>
        </w:r>
      </w:hyperlink>
      <w:r>
        <w:rPr>
          <w:sz w:val="14"/>
        </w:rPr>
        <w:t>.</w:t>
      </w:r>
    </w:p>
    <w:p>
      <w:pPr>
        <w:pStyle w:val="ListParagraph"/>
        <w:numPr>
          <w:ilvl w:val="3"/>
          <w:numId w:val="3"/>
        </w:numPr>
        <w:tabs>
          <w:tab w:pos="415" w:val="left" w:leader="none"/>
        </w:tabs>
        <w:spacing w:line="247" w:lineRule="auto" w:before="1" w:after="0"/>
        <w:ind w:left="414" w:right="104" w:hanging="298"/>
        <w:jc w:val="both"/>
        <w:rPr>
          <w:sz w:val="14"/>
        </w:rPr>
      </w:pPr>
      <w:hyperlink r:id="rId73">
        <w:r>
          <w:rPr>
            <w:color w:val="127EAD"/>
            <w:sz w:val="14"/>
          </w:rPr>
          <w:t>Uppal J, Baker JR, Hira R, Karalasingham K, Ranada S, Deol P, et al.</w:t>
        </w:r>
      </w:hyperlink>
      <w:r>
        <w:rPr>
          <w:color w:val="127EAD"/>
          <w:sz w:val="14"/>
        </w:rPr>
        <w:t> </w:t>
      </w:r>
      <w:hyperlink r:id="rId73">
        <w:r>
          <w:rPr>
            <w:color w:val="127EAD"/>
            <w:sz w:val="14"/>
          </w:rPr>
          <w:t>Physiological and clinical comparison of active stand and head-up tilt</w:t>
        </w:r>
      </w:hyperlink>
      <w:r>
        <w:rPr>
          <w:color w:val="127EAD"/>
          <w:sz w:val="14"/>
        </w:rPr>
        <w:t> </w:t>
      </w:r>
      <w:hyperlink r:id="rId73">
        <w:r>
          <w:rPr>
            <w:color w:val="127EAD"/>
            <w:sz w:val="14"/>
          </w:rPr>
          <w:t>tests in postural orthostatic tachycardia syndrome (POTS). Auton</w:t>
        </w:r>
      </w:hyperlink>
      <w:r>
        <w:rPr>
          <w:color w:val="127EAD"/>
          <w:sz w:val="14"/>
        </w:rPr>
        <w:t> </w:t>
      </w:r>
      <w:hyperlink r:id="rId73">
        <w:r>
          <w:rPr>
            <w:color w:val="127EAD"/>
            <w:sz w:val="14"/>
          </w:rPr>
          <w:t>Neurosci.</w:t>
        </w:r>
        <w:r>
          <w:rPr>
            <w:color w:val="127EAD"/>
            <w:spacing w:val="4"/>
            <w:sz w:val="14"/>
          </w:rPr>
          <w:t> </w:t>
        </w:r>
        <w:r>
          <w:rPr>
            <w:color w:val="127EAD"/>
            <w:sz w:val="14"/>
          </w:rPr>
          <w:t>2025;260:103281</w:t>
        </w:r>
      </w:hyperlink>
      <w:r>
        <w:rPr>
          <w:sz w:val="14"/>
        </w:rPr>
        <w:t>.</w:t>
      </w:r>
    </w:p>
    <w:p>
      <w:pPr>
        <w:spacing w:after="0" w:line="247" w:lineRule="auto"/>
        <w:jc w:val="both"/>
        <w:rPr>
          <w:sz w:val="14"/>
        </w:rPr>
        <w:sectPr>
          <w:type w:val="continuous"/>
          <w:pgSz w:w="11910" w:h="15880"/>
          <w:pgMar w:top="660" w:bottom="280" w:left="840" w:right="780"/>
          <w:cols w:num="2" w:equalWidth="0">
            <w:col w:w="5153" w:space="196"/>
            <w:col w:w="4941"/>
          </w:cols>
        </w:sectPr>
      </w:pPr>
    </w:p>
    <w:p>
      <w:pPr>
        <w:pStyle w:val="BodyText"/>
        <w:spacing w:before="3"/>
        <w:rPr>
          <w:sz w:val="26"/>
        </w:rPr>
      </w:pPr>
    </w:p>
    <w:p>
      <w:pPr>
        <w:spacing w:after="0"/>
        <w:rPr>
          <w:sz w:val="26"/>
        </w:rPr>
        <w:sectPr>
          <w:pgSz w:w="11910" w:h="15880"/>
          <w:pgMar w:header="471" w:footer="0" w:top="840" w:bottom="280" w:left="780" w:right="840"/>
        </w:sectPr>
      </w:pPr>
    </w:p>
    <w:p>
      <w:pPr>
        <w:pStyle w:val="ListParagraph"/>
        <w:numPr>
          <w:ilvl w:val="3"/>
          <w:numId w:val="3"/>
        </w:numPr>
        <w:tabs>
          <w:tab w:pos="473" w:val="left" w:leader="none"/>
        </w:tabs>
        <w:spacing w:line="247" w:lineRule="auto" w:before="95" w:after="0"/>
        <w:ind w:left="472" w:right="252" w:hanging="297"/>
        <w:jc w:val="both"/>
        <w:rPr>
          <w:sz w:val="14"/>
        </w:rPr>
      </w:pPr>
      <w:r>
        <w:rPr/>
        <w:drawing>
          <wp:anchor distT="0" distB="0" distL="0" distR="0" allowOverlap="1" layoutInCell="1" locked="0" behindDoc="0" simplePos="0" relativeHeight="1696">
            <wp:simplePos x="0" y="0"/>
            <wp:positionH relativeFrom="page">
              <wp:posOffset>3748455</wp:posOffset>
            </wp:positionH>
            <wp:positionV relativeFrom="page">
              <wp:posOffset>854315</wp:posOffset>
            </wp:positionV>
            <wp:extent cx="12649" cy="8468348"/>
            <wp:effectExtent l="0" t="0" r="0" b="0"/>
            <wp:wrapNone/>
            <wp:docPr id="27" name="image27.png" descr=""/>
            <wp:cNvGraphicFramePr>
              <a:graphicFrameLocks noChangeAspect="1"/>
            </wp:cNvGraphicFramePr>
            <a:graphic>
              <a:graphicData uri="http://schemas.openxmlformats.org/drawingml/2006/picture">
                <pic:pic>
                  <pic:nvPicPr>
                    <pic:cNvPr id="28" name="image27.png"/>
                    <pic:cNvPicPr/>
                  </pic:nvPicPr>
                  <pic:blipFill>
                    <a:blip r:embed="rId74" cstate="print"/>
                    <a:stretch>
                      <a:fillRect/>
                    </a:stretch>
                  </pic:blipFill>
                  <pic:spPr>
                    <a:xfrm>
                      <a:off x="0" y="0"/>
                      <a:ext cx="12649" cy="8468348"/>
                    </a:xfrm>
                    <a:prstGeom prst="rect">
                      <a:avLst/>
                    </a:prstGeom>
                  </pic:spPr>
                </pic:pic>
              </a:graphicData>
            </a:graphic>
          </wp:anchor>
        </w:drawing>
      </w:r>
      <w:bookmarkStart w:name="_bookmark55" w:id="82"/>
      <w:bookmarkEnd w:id="82"/>
      <w:r>
        <w:rPr/>
      </w:r>
      <w:hyperlink r:id="rId75">
        <w:bookmarkStart w:name="_bookmark55" w:id="83"/>
        <w:bookmarkEnd w:id="83"/>
        <w:r>
          <w:rPr>
            <w:color w:val="127EAD"/>
            <w:sz w:val="14"/>
          </w:rPr>
          <w:t>Sletten</w:t>
        </w:r>
        <w:r>
          <w:rPr>
            <w:color w:val="127EAD"/>
            <w:sz w:val="14"/>
          </w:rPr>
          <w:t> DM, Suarez GA, Low PA, Mandrekar J, Singer W. COMPASS</w:t>
        </w:r>
      </w:hyperlink>
      <w:r>
        <w:rPr>
          <w:color w:val="127EAD"/>
          <w:sz w:val="14"/>
        </w:rPr>
        <w:t> </w:t>
      </w:r>
      <w:hyperlink r:id="rId75">
        <w:r>
          <w:rPr>
            <w:color w:val="127EAD"/>
            <w:sz w:val="14"/>
          </w:rPr>
          <w:t>31: a refined and abbreviated Composite Autonomic Symptom Score.</w:t>
        </w:r>
      </w:hyperlink>
      <w:r>
        <w:rPr>
          <w:color w:val="127EAD"/>
          <w:sz w:val="14"/>
        </w:rPr>
        <w:t> </w:t>
      </w:r>
      <w:bookmarkStart w:name="_bookmark56" w:id="84"/>
      <w:bookmarkEnd w:id="84"/>
      <w:r>
        <w:rPr>
          <w:color w:val="127EAD"/>
          <w:sz w:val="14"/>
        </w:rPr>
      </w:r>
      <w:hyperlink r:id="rId75">
        <w:r>
          <w:rPr>
            <w:color w:val="127EAD"/>
            <w:sz w:val="14"/>
          </w:rPr>
          <w:t>Mayo Clin Proc.</w:t>
        </w:r>
        <w:r>
          <w:rPr>
            <w:color w:val="127EAD"/>
            <w:spacing w:val="25"/>
            <w:sz w:val="14"/>
          </w:rPr>
          <w:t> </w:t>
        </w:r>
        <w:r>
          <w:rPr>
            <w:color w:val="127EAD"/>
            <w:sz w:val="14"/>
          </w:rPr>
          <w:t>2012;87:1196–201</w:t>
        </w:r>
      </w:hyperlink>
      <w:r>
        <w:rPr>
          <w:sz w:val="14"/>
        </w:rPr>
        <w:t>.</w:t>
      </w:r>
    </w:p>
    <w:p>
      <w:pPr>
        <w:pStyle w:val="ListParagraph"/>
        <w:numPr>
          <w:ilvl w:val="3"/>
          <w:numId w:val="3"/>
        </w:numPr>
        <w:tabs>
          <w:tab w:pos="473" w:val="left" w:leader="none"/>
        </w:tabs>
        <w:spacing w:line="247" w:lineRule="auto" w:before="0" w:after="0"/>
        <w:ind w:left="472" w:right="253" w:hanging="297"/>
        <w:jc w:val="both"/>
        <w:rPr>
          <w:sz w:val="14"/>
        </w:rPr>
      </w:pPr>
      <w:hyperlink r:id="rId76">
        <w:r>
          <w:rPr>
            <w:color w:val="127EAD"/>
            <w:sz w:val="14"/>
          </w:rPr>
          <w:t>Glans M, Humble MB, Elwin M, Bejerot S. Self-rated joint hypermo-</w:t>
        </w:r>
      </w:hyperlink>
      <w:r>
        <w:rPr>
          <w:color w:val="127EAD"/>
          <w:sz w:val="14"/>
        </w:rPr>
        <w:t> </w:t>
      </w:r>
      <w:hyperlink r:id="rId76">
        <w:r>
          <w:rPr>
            <w:color w:val="127EAD"/>
            <w:sz w:val="14"/>
          </w:rPr>
          <w:t>bility: the five-part questionnaire evaluated in a Swedish non-clinical</w:t>
        </w:r>
      </w:hyperlink>
      <w:r>
        <w:rPr>
          <w:color w:val="127EAD"/>
          <w:sz w:val="14"/>
        </w:rPr>
        <w:t> </w:t>
      </w:r>
      <w:bookmarkStart w:name="_bookmark57" w:id="85"/>
      <w:bookmarkEnd w:id="85"/>
      <w:r>
        <w:rPr>
          <w:color w:val="127EAD"/>
          <w:sz w:val="14"/>
        </w:rPr>
      </w:r>
      <w:hyperlink r:id="rId76">
        <w:r>
          <w:rPr>
            <w:color w:val="127EAD"/>
            <w:sz w:val="14"/>
          </w:rPr>
          <w:t>adult population. BMC Musculoskelet Disord. </w:t>
        </w:r>
        <w:r>
          <w:rPr>
            <w:color w:val="127EAD"/>
            <w:spacing w:val="4"/>
            <w:sz w:val="14"/>
          </w:rPr>
          <w:t> </w:t>
        </w:r>
        <w:r>
          <w:rPr>
            <w:color w:val="127EAD"/>
            <w:sz w:val="14"/>
          </w:rPr>
          <w:t>2020;21:174</w:t>
        </w:r>
      </w:hyperlink>
      <w:r>
        <w:rPr>
          <w:sz w:val="14"/>
        </w:rPr>
        <w:t>.</w:t>
      </w:r>
    </w:p>
    <w:p>
      <w:pPr>
        <w:pStyle w:val="ListParagraph"/>
        <w:numPr>
          <w:ilvl w:val="3"/>
          <w:numId w:val="3"/>
        </w:numPr>
        <w:tabs>
          <w:tab w:pos="473" w:val="left" w:leader="none"/>
        </w:tabs>
        <w:spacing w:line="247" w:lineRule="auto" w:before="1" w:after="0"/>
        <w:ind w:left="472" w:right="252" w:hanging="297"/>
        <w:jc w:val="both"/>
        <w:rPr>
          <w:sz w:val="14"/>
        </w:rPr>
      </w:pPr>
      <w:hyperlink r:id="rId77">
        <w:r>
          <w:rPr>
            <w:color w:val="127EAD"/>
            <w:sz w:val="14"/>
          </w:rPr>
          <w:t>Raj SR, Biaggioni I, Yamhure PC, Black BK, Paranjape SY, Byrne DW,</w:t>
        </w:r>
      </w:hyperlink>
      <w:r>
        <w:rPr>
          <w:color w:val="127EAD"/>
          <w:sz w:val="14"/>
        </w:rPr>
        <w:t>  </w:t>
      </w:r>
      <w:hyperlink r:id="rId77">
        <w:r>
          <w:rPr>
            <w:color w:val="127EAD"/>
            <w:sz w:val="14"/>
          </w:rPr>
          <w:t>et al. Renin-aldosterone paradox and perturbed blood volume regula-</w:t>
        </w:r>
      </w:hyperlink>
      <w:r>
        <w:rPr>
          <w:color w:val="127EAD"/>
          <w:sz w:val="14"/>
        </w:rPr>
        <w:t> </w:t>
      </w:r>
      <w:hyperlink r:id="rId77">
        <w:r>
          <w:rPr>
            <w:color w:val="127EAD"/>
            <w:sz w:val="14"/>
          </w:rPr>
          <w:t>tion underlying postural tachycardia syndrome. Circulation.</w:t>
        </w:r>
      </w:hyperlink>
      <w:r>
        <w:rPr>
          <w:color w:val="127EAD"/>
          <w:sz w:val="14"/>
        </w:rPr>
        <w:t> </w:t>
      </w:r>
      <w:bookmarkStart w:name="_bookmark58" w:id="86"/>
      <w:bookmarkEnd w:id="86"/>
      <w:r>
        <w:rPr>
          <w:color w:val="127EAD"/>
          <w:sz w:val="14"/>
        </w:rPr>
      </w:r>
      <w:hyperlink r:id="rId77">
        <w:r>
          <w:rPr>
            <w:color w:val="127EAD"/>
            <w:sz w:val="14"/>
          </w:rPr>
          <w:t>2005;111:1574–82</w:t>
        </w:r>
      </w:hyperlink>
      <w:r>
        <w:rPr>
          <w:sz w:val="14"/>
        </w:rPr>
        <w:t>.</w:t>
      </w:r>
    </w:p>
    <w:p>
      <w:pPr>
        <w:pStyle w:val="ListParagraph"/>
        <w:numPr>
          <w:ilvl w:val="3"/>
          <w:numId w:val="3"/>
        </w:numPr>
        <w:tabs>
          <w:tab w:pos="473" w:val="left" w:leader="none"/>
        </w:tabs>
        <w:spacing w:line="247" w:lineRule="auto" w:before="0" w:after="0"/>
        <w:ind w:left="472" w:right="252" w:hanging="297"/>
        <w:jc w:val="both"/>
        <w:rPr>
          <w:sz w:val="14"/>
        </w:rPr>
      </w:pPr>
      <w:hyperlink r:id="rId78">
        <w:r>
          <w:rPr>
            <w:color w:val="127EAD"/>
            <w:sz w:val="14"/>
          </w:rPr>
          <w:t>Bourne KM, Sheldon RS, Hall J, Lloyd M, Kogut K, Sheikh N, et al.</w:t>
        </w:r>
      </w:hyperlink>
      <w:r>
        <w:rPr>
          <w:color w:val="127EAD"/>
          <w:sz w:val="14"/>
        </w:rPr>
        <w:t> </w:t>
      </w:r>
      <w:hyperlink r:id="rId78">
        <w:r>
          <w:rPr>
            <w:color w:val="127EAD"/>
            <w:sz w:val="14"/>
          </w:rPr>
          <w:t>Compression garment reduces orthostatic tachycardia and symptoms</w:t>
        </w:r>
      </w:hyperlink>
      <w:r>
        <w:rPr>
          <w:color w:val="127EAD"/>
          <w:sz w:val="14"/>
        </w:rPr>
        <w:t> </w:t>
      </w:r>
      <w:hyperlink r:id="rId78">
        <w:r>
          <w:rPr>
            <w:color w:val="127EAD"/>
            <w:sz w:val="14"/>
          </w:rPr>
          <w:t>in patients with postural orthostatic tachycardia syndrome. J Am Coll</w:t>
        </w:r>
      </w:hyperlink>
      <w:r>
        <w:rPr>
          <w:color w:val="127EAD"/>
          <w:sz w:val="14"/>
        </w:rPr>
        <w:t> </w:t>
      </w:r>
      <w:bookmarkStart w:name="_bookmark59" w:id="87"/>
      <w:bookmarkEnd w:id="87"/>
      <w:r>
        <w:rPr>
          <w:color w:val="127EAD"/>
          <w:sz w:val="14"/>
        </w:rPr>
      </w:r>
      <w:hyperlink r:id="rId78">
        <w:r>
          <w:rPr>
            <w:color w:val="127EAD"/>
            <w:sz w:val="14"/>
          </w:rPr>
          <w:t>Cardiol.</w:t>
        </w:r>
        <w:r>
          <w:rPr>
            <w:color w:val="127EAD"/>
            <w:spacing w:val="5"/>
            <w:sz w:val="14"/>
          </w:rPr>
          <w:t> </w:t>
        </w:r>
        <w:r>
          <w:rPr>
            <w:color w:val="127EAD"/>
            <w:sz w:val="14"/>
          </w:rPr>
          <w:t>2021;77:285–96</w:t>
        </w:r>
      </w:hyperlink>
      <w:r>
        <w:rPr>
          <w:sz w:val="14"/>
        </w:rPr>
        <w:t>.</w:t>
      </w:r>
    </w:p>
    <w:p>
      <w:pPr>
        <w:pStyle w:val="ListParagraph"/>
        <w:numPr>
          <w:ilvl w:val="3"/>
          <w:numId w:val="3"/>
        </w:numPr>
        <w:tabs>
          <w:tab w:pos="473" w:val="left" w:leader="none"/>
        </w:tabs>
        <w:spacing w:line="247" w:lineRule="auto" w:before="0" w:after="0"/>
        <w:ind w:left="472" w:right="252" w:hanging="297"/>
        <w:jc w:val="both"/>
        <w:rPr>
          <w:sz w:val="14"/>
        </w:rPr>
      </w:pPr>
      <w:hyperlink r:id="rId79">
        <w:r>
          <w:rPr>
            <w:color w:val="127EAD"/>
            <w:sz w:val="14"/>
          </w:rPr>
          <w:t>Bourne KM, Karalasingham K, Siddiqui T, Patel A, Exner D, Sheldon</w:t>
        </w:r>
        <w:r>
          <w:rPr>
            <w:color w:val="127EAD"/>
            <w:spacing w:val="-15"/>
            <w:sz w:val="14"/>
          </w:rPr>
          <w:t> </w:t>
        </w:r>
        <w:r>
          <w:rPr>
            <w:color w:val="127EAD"/>
            <w:sz w:val="14"/>
          </w:rPr>
          <w:t>R,</w:t>
        </w:r>
      </w:hyperlink>
      <w:r>
        <w:rPr>
          <w:color w:val="127EAD"/>
          <w:sz w:val="14"/>
        </w:rPr>
        <w:t> </w:t>
      </w:r>
      <w:hyperlink r:id="rId79">
        <w:r>
          <w:rPr>
            <w:color w:val="127EAD"/>
            <w:sz w:val="14"/>
          </w:rPr>
          <w:t>et al. A community-based trial of commercially available compression</w:t>
        </w:r>
      </w:hyperlink>
      <w:r>
        <w:rPr>
          <w:color w:val="127EAD"/>
          <w:sz w:val="14"/>
        </w:rPr>
        <w:t> </w:t>
      </w:r>
      <w:hyperlink r:id="rId79">
        <w:r>
          <w:rPr>
            <w:color w:val="127EAD"/>
            <w:sz w:val="14"/>
          </w:rPr>
          <w:t>tights</w:t>
        </w:r>
        <w:r>
          <w:rPr>
            <w:color w:val="127EAD"/>
            <w:spacing w:val="-4"/>
            <w:sz w:val="14"/>
          </w:rPr>
          <w:t> </w:t>
        </w:r>
        <w:r>
          <w:rPr>
            <w:color w:val="127EAD"/>
            <w:sz w:val="14"/>
          </w:rPr>
          <w:t>in</w:t>
        </w:r>
        <w:r>
          <w:rPr>
            <w:color w:val="127EAD"/>
            <w:spacing w:val="-4"/>
            <w:sz w:val="14"/>
          </w:rPr>
          <w:t> </w:t>
        </w:r>
        <w:r>
          <w:rPr>
            <w:color w:val="127EAD"/>
            <w:sz w:val="14"/>
          </w:rPr>
          <w:t>patients</w:t>
        </w:r>
        <w:r>
          <w:rPr>
            <w:color w:val="127EAD"/>
            <w:spacing w:val="-5"/>
            <w:sz w:val="14"/>
          </w:rPr>
          <w:t> </w:t>
        </w:r>
        <w:r>
          <w:rPr>
            <w:color w:val="127EAD"/>
            <w:sz w:val="14"/>
          </w:rPr>
          <w:t>with</w:t>
        </w:r>
        <w:r>
          <w:rPr>
            <w:color w:val="127EAD"/>
            <w:spacing w:val="-4"/>
            <w:sz w:val="14"/>
          </w:rPr>
          <w:t> </w:t>
        </w:r>
        <w:r>
          <w:rPr>
            <w:color w:val="127EAD"/>
            <w:sz w:val="14"/>
          </w:rPr>
          <w:t>postural</w:t>
        </w:r>
        <w:r>
          <w:rPr>
            <w:color w:val="127EAD"/>
            <w:spacing w:val="-4"/>
            <w:sz w:val="14"/>
          </w:rPr>
          <w:t> </w:t>
        </w:r>
        <w:r>
          <w:rPr>
            <w:color w:val="127EAD"/>
            <w:sz w:val="14"/>
          </w:rPr>
          <w:t>orthostatic</w:t>
        </w:r>
        <w:r>
          <w:rPr>
            <w:color w:val="127EAD"/>
            <w:spacing w:val="-4"/>
            <w:sz w:val="14"/>
          </w:rPr>
          <w:t> </w:t>
        </w:r>
        <w:r>
          <w:rPr>
            <w:color w:val="127EAD"/>
            <w:sz w:val="14"/>
          </w:rPr>
          <w:t>tachycardia</w:t>
        </w:r>
        <w:r>
          <w:rPr>
            <w:color w:val="127EAD"/>
            <w:spacing w:val="-4"/>
            <w:sz w:val="14"/>
          </w:rPr>
          <w:t> </w:t>
        </w:r>
        <w:r>
          <w:rPr>
            <w:color w:val="127EAD"/>
            <w:sz w:val="14"/>
          </w:rPr>
          <w:t>syndrome.</w:t>
        </w:r>
        <w:r>
          <w:rPr>
            <w:color w:val="127EAD"/>
            <w:spacing w:val="-4"/>
            <w:sz w:val="14"/>
          </w:rPr>
          <w:t> </w:t>
        </w:r>
        <w:r>
          <w:rPr>
            <w:color w:val="127EAD"/>
            <w:sz w:val="14"/>
          </w:rPr>
          <w:t>JACC</w:t>
        </w:r>
      </w:hyperlink>
      <w:r>
        <w:rPr>
          <w:color w:val="127EAD"/>
          <w:sz w:val="14"/>
        </w:rPr>
        <w:t> </w:t>
      </w:r>
      <w:bookmarkStart w:name="_bookmark60" w:id="88"/>
      <w:bookmarkEnd w:id="88"/>
      <w:r>
        <w:rPr>
          <w:color w:val="127EAD"/>
          <w:sz w:val="14"/>
        </w:rPr>
      </w:r>
      <w:hyperlink r:id="rId79">
        <w:r>
          <w:rPr>
            <w:color w:val="127EAD"/>
            <w:sz w:val="14"/>
          </w:rPr>
          <w:t>Clin Electrophysiol.</w:t>
        </w:r>
        <w:r>
          <w:rPr>
            <w:color w:val="127EAD"/>
            <w:spacing w:val="14"/>
            <w:sz w:val="14"/>
          </w:rPr>
          <w:t> </w:t>
        </w:r>
        <w:r>
          <w:rPr>
            <w:color w:val="127EAD"/>
            <w:sz w:val="14"/>
          </w:rPr>
          <w:t>2025;11:179–90</w:t>
        </w:r>
      </w:hyperlink>
      <w:r>
        <w:rPr>
          <w:sz w:val="14"/>
        </w:rPr>
        <w:t>.</w:t>
      </w:r>
    </w:p>
    <w:p>
      <w:pPr>
        <w:pStyle w:val="ListParagraph"/>
        <w:numPr>
          <w:ilvl w:val="3"/>
          <w:numId w:val="3"/>
        </w:numPr>
        <w:tabs>
          <w:tab w:pos="473" w:val="left" w:leader="none"/>
        </w:tabs>
        <w:spacing w:line="247" w:lineRule="auto" w:before="0" w:after="0"/>
        <w:ind w:left="472" w:right="252" w:hanging="297"/>
        <w:jc w:val="both"/>
        <w:rPr>
          <w:sz w:val="14"/>
        </w:rPr>
      </w:pPr>
      <w:hyperlink r:id="rId80">
        <w:r>
          <w:rPr>
            <w:color w:val="127EAD"/>
            <w:sz w:val="14"/>
          </w:rPr>
          <w:t>Eftekhari H, Maddock H, Pearce G, Raza S, Kavi L, Lim PB, et al.</w:t>
        </w:r>
      </w:hyperlink>
      <w:r>
        <w:rPr>
          <w:color w:val="127EAD"/>
          <w:sz w:val="14"/>
        </w:rPr>
        <w:t> </w:t>
      </w:r>
      <w:hyperlink r:id="rId80">
        <w:r>
          <w:rPr>
            <w:color w:val="127EAD"/>
            <w:sz w:val="14"/>
          </w:rPr>
          <w:t>Understanding the future research needs in postural orthostatic</w:t>
        </w:r>
      </w:hyperlink>
      <w:r>
        <w:rPr>
          <w:color w:val="127EAD"/>
          <w:sz w:val="14"/>
        </w:rPr>
        <w:t> </w:t>
      </w:r>
      <w:hyperlink r:id="rId80">
        <w:r>
          <w:rPr>
            <w:color w:val="127EAD"/>
            <w:sz w:val="14"/>
          </w:rPr>
          <w:t>tachycardia syndrome (POTS): evidence mapping the POTS adult</w:t>
        </w:r>
      </w:hyperlink>
      <w:r>
        <w:rPr>
          <w:color w:val="127EAD"/>
          <w:sz w:val="14"/>
        </w:rPr>
        <w:t> </w:t>
      </w:r>
      <w:bookmarkStart w:name="_bookmark61" w:id="89"/>
      <w:bookmarkEnd w:id="89"/>
      <w:r>
        <w:rPr>
          <w:color w:val="127EAD"/>
          <w:sz w:val="14"/>
        </w:rPr>
      </w:r>
      <w:hyperlink r:id="rId80">
        <w:r>
          <w:rPr>
            <w:color w:val="127EAD"/>
            <w:sz w:val="14"/>
          </w:rPr>
          <w:t>literature. Auton Neurosci.</w:t>
        </w:r>
        <w:r>
          <w:rPr>
            <w:color w:val="127EAD"/>
            <w:spacing w:val="22"/>
            <w:sz w:val="14"/>
          </w:rPr>
          <w:t> </w:t>
        </w:r>
        <w:r>
          <w:rPr>
            <w:color w:val="127EAD"/>
            <w:sz w:val="14"/>
          </w:rPr>
          <w:t>2021;233:102808</w:t>
        </w:r>
      </w:hyperlink>
      <w:r>
        <w:rPr>
          <w:sz w:val="14"/>
        </w:rPr>
        <w:t>.</w:t>
      </w:r>
    </w:p>
    <w:p>
      <w:pPr>
        <w:pStyle w:val="ListParagraph"/>
        <w:numPr>
          <w:ilvl w:val="3"/>
          <w:numId w:val="3"/>
        </w:numPr>
        <w:tabs>
          <w:tab w:pos="473" w:val="left" w:leader="none"/>
        </w:tabs>
        <w:spacing w:line="247" w:lineRule="auto" w:before="0" w:after="0"/>
        <w:ind w:left="472" w:right="252" w:hanging="297"/>
        <w:jc w:val="both"/>
        <w:rPr>
          <w:sz w:val="14"/>
        </w:rPr>
      </w:pPr>
      <w:hyperlink r:id="rId81">
        <w:r>
          <w:rPr>
            <w:color w:val="127EAD"/>
            <w:sz w:val="14"/>
          </w:rPr>
          <w:t>Wells R, Elliott AD, Mahajan R, Page A, Iodice V, Sanders P, et al. Ef-</w:t>
        </w:r>
      </w:hyperlink>
      <w:r>
        <w:rPr>
          <w:color w:val="127EAD"/>
          <w:sz w:val="14"/>
        </w:rPr>
        <w:t> </w:t>
      </w:r>
      <w:hyperlink r:id="rId81">
        <w:r>
          <w:rPr>
            <w:color w:val="127EAD"/>
            <w:sz w:val="14"/>
          </w:rPr>
          <w:t>ficacy of therapies for postural tachycardia syndrome: a systematic</w:t>
        </w:r>
      </w:hyperlink>
      <w:r>
        <w:rPr>
          <w:color w:val="127EAD"/>
          <w:sz w:val="14"/>
        </w:rPr>
        <w:t> </w:t>
      </w:r>
      <w:bookmarkStart w:name="_bookmark62" w:id="90"/>
      <w:bookmarkEnd w:id="90"/>
      <w:r>
        <w:rPr>
          <w:color w:val="127EAD"/>
          <w:sz w:val="14"/>
        </w:rPr>
      </w:r>
      <w:hyperlink r:id="rId81">
        <w:r>
          <w:rPr>
            <w:color w:val="127EAD"/>
            <w:sz w:val="14"/>
          </w:rPr>
          <w:t>review and meta-analysis. Mayo Clin Proc. </w:t>
        </w:r>
        <w:r>
          <w:rPr>
            <w:color w:val="127EAD"/>
            <w:spacing w:val="16"/>
            <w:sz w:val="14"/>
          </w:rPr>
          <w:t> </w:t>
        </w:r>
        <w:r>
          <w:rPr>
            <w:color w:val="127EAD"/>
            <w:sz w:val="14"/>
          </w:rPr>
          <w:t>2018;93:1043–53</w:t>
        </w:r>
      </w:hyperlink>
      <w:r>
        <w:rPr>
          <w:sz w:val="14"/>
        </w:rPr>
        <w:t>.</w:t>
      </w:r>
    </w:p>
    <w:p>
      <w:pPr>
        <w:pStyle w:val="ListParagraph"/>
        <w:numPr>
          <w:ilvl w:val="3"/>
          <w:numId w:val="3"/>
        </w:numPr>
        <w:tabs>
          <w:tab w:pos="473" w:val="left" w:leader="none"/>
        </w:tabs>
        <w:spacing w:line="247" w:lineRule="auto" w:before="1" w:after="0"/>
        <w:ind w:left="472" w:right="252" w:hanging="297"/>
        <w:jc w:val="both"/>
        <w:rPr>
          <w:sz w:val="14"/>
        </w:rPr>
      </w:pPr>
      <w:hyperlink r:id="rId82">
        <w:r>
          <w:rPr>
            <w:color w:val="127EAD"/>
            <w:sz w:val="14"/>
          </w:rPr>
          <w:t>Brignole</w:t>
        </w:r>
        <w:r>
          <w:rPr>
            <w:color w:val="127EAD"/>
            <w:spacing w:val="-4"/>
            <w:sz w:val="14"/>
          </w:rPr>
          <w:t> </w:t>
        </w:r>
        <w:r>
          <w:rPr>
            <w:color w:val="127EAD"/>
            <w:sz w:val="14"/>
          </w:rPr>
          <w:t>M,</w:t>
        </w:r>
        <w:r>
          <w:rPr>
            <w:color w:val="127EAD"/>
            <w:spacing w:val="-5"/>
            <w:sz w:val="14"/>
          </w:rPr>
          <w:t> </w:t>
        </w:r>
        <w:r>
          <w:rPr>
            <w:color w:val="127EAD"/>
            <w:sz w:val="14"/>
          </w:rPr>
          <w:t>Rivasi</w:t>
        </w:r>
        <w:r>
          <w:rPr>
            <w:color w:val="127EAD"/>
            <w:spacing w:val="-5"/>
            <w:sz w:val="14"/>
          </w:rPr>
          <w:t> </w:t>
        </w:r>
        <w:r>
          <w:rPr>
            <w:color w:val="127EAD"/>
            <w:sz w:val="14"/>
          </w:rPr>
          <w:t>G,</w:t>
        </w:r>
        <w:r>
          <w:rPr>
            <w:color w:val="127EAD"/>
            <w:spacing w:val="-4"/>
            <w:sz w:val="14"/>
          </w:rPr>
          <w:t> </w:t>
        </w:r>
        <w:r>
          <w:rPr>
            <w:color w:val="127EAD"/>
            <w:sz w:val="14"/>
          </w:rPr>
          <w:t>Sutton</w:t>
        </w:r>
        <w:r>
          <w:rPr>
            <w:color w:val="127EAD"/>
            <w:spacing w:val="-4"/>
            <w:sz w:val="14"/>
          </w:rPr>
          <w:t> </w:t>
        </w:r>
        <w:r>
          <w:rPr>
            <w:color w:val="127EAD"/>
            <w:sz w:val="14"/>
          </w:rPr>
          <w:t>R,</w:t>
        </w:r>
        <w:r>
          <w:rPr>
            <w:color w:val="127EAD"/>
            <w:spacing w:val="-5"/>
            <w:sz w:val="14"/>
          </w:rPr>
          <w:t> </w:t>
        </w:r>
        <w:r>
          <w:rPr>
            <w:color w:val="127EAD"/>
            <w:sz w:val="14"/>
          </w:rPr>
          <w:t>Kenny</w:t>
        </w:r>
        <w:r>
          <w:rPr>
            <w:color w:val="127EAD"/>
            <w:spacing w:val="-4"/>
            <w:sz w:val="14"/>
          </w:rPr>
          <w:t> </w:t>
        </w:r>
        <w:r>
          <w:rPr>
            <w:color w:val="127EAD"/>
            <w:sz w:val="14"/>
          </w:rPr>
          <w:t>RA,</w:t>
        </w:r>
        <w:r>
          <w:rPr>
            <w:color w:val="127EAD"/>
            <w:spacing w:val="-4"/>
            <w:sz w:val="14"/>
          </w:rPr>
          <w:t> </w:t>
        </w:r>
        <w:r>
          <w:rPr>
            <w:color w:val="127EAD"/>
            <w:sz w:val="14"/>
          </w:rPr>
          <w:t>Morillo</w:t>
        </w:r>
        <w:r>
          <w:rPr>
            <w:color w:val="127EAD"/>
            <w:spacing w:val="-4"/>
            <w:sz w:val="14"/>
          </w:rPr>
          <w:t> </w:t>
        </w:r>
        <w:r>
          <w:rPr>
            <w:color w:val="127EAD"/>
            <w:sz w:val="14"/>
          </w:rPr>
          <w:t>CA,</w:t>
        </w:r>
        <w:r>
          <w:rPr>
            <w:color w:val="127EAD"/>
            <w:spacing w:val="-4"/>
            <w:sz w:val="14"/>
          </w:rPr>
          <w:t> </w:t>
        </w:r>
        <w:r>
          <w:rPr>
            <w:color w:val="127EAD"/>
            <w:sz w:val="14"/>
          </w:rPr>
          <w:t>Sheldon</w:t>
        </w:r>
        <w:r>
          <w:rPr>
            <w:color w:val="127EAD"/>
            <w:spacing w:val="-4"/>
            <w:sz w:val="14"/>
          </w:rPr>
          <w:t> </w:t>
        </w:r>
        <w:r>
          <w:rPr>
            <w:color w:val="127EAD"/>
            <w:sz w:val="14"/>
          </w:rPr>
          <w:t>R,</w:t>
        </w:r>
        <w:r>
          <w:rPr>
            <w:color w:val="127EAD"/>
            <w:spacing w:val="-5"/>
            <w:sz w:val="14"/>
          </w:rPr>
          <w:t> </w:t>
        </w:r>
        <w:r>
          <w:rPr>
            <w:color w:val="127EAD"/>
            <w:sz w:val="14"/>
          </w:rPr>
          <w:t>et</w:t>
        </w:r>
        <w:r>
          <w:rPr>
            <w:color w:val="127EAD"/>
            <w:spacing w:val="-5"/>
            <w:sz w:val="14"/>
          </w:rPr>
          <w:t> </w:t>
        </w:r>
        <w:r>
          <w:rPr>
            <w:color w:val="127EAD"/>
            <w:sz w:val="14"/>
          </w:rPr>
          <w:t>al.</w:t>
        </w:r>
      </w:hyperlink>
      <w:r>
        <w:rPr>
          <w:color w:val="127EAD"/>
          <w:sz w:val="14"/>
        </w:rPr>
        <w:t> </w:t>
      </w:r>
      <w:hyperlink r:id="rId82">
        <w:r>
          <w:rPr>
            <w:color w:val="127EAD"/>
            <w:sz w:val="14"/>
          </w:rPr>
          <w:t>Low-blood pressure phenotype underpins the tendency to reflex syn-</w:t>
        </w:r>
      </w:hyperlink>
      <w:r>
        <w:rPr>
          <w:color w:val="127EAD"/>
          <w:sz w:val="14"/>
        </w:rPr>
        <w:t> </w:t>
      </w:r>
      <w:bookmarkStart w:name="_bookmark63" w:id="91"/>
      <w:bookmarkEnd w:id="91"/>
      <w:r>
        <w:rPr>
          <w:color w:val="127EAD"/>
          <w:sz w:val="14"/>
        </w:rPr>
      </w:r>
      <w:hyperlink r:id="rId82">
        <w:r>
          <w:rPr>
            <w:color w:val="127EAD"/>
            <w:sz w:val="14"/>
          </w:rPr>
          <w:t>cope. J Hypertens.</w:t>
        </w:r>
        <w:r>
          <w:rPr>
            <w:color w:val="127EAD"/>
            <w:spacing w:val="24"/>
            <w:sz w:val="14"/>
          </w:rPr>
          <w:t> </w:t>
        </w:r>
        <w:r>
          <w:rPr>
            <w:color w:val="127EAD"/>
            <w:sz w:val="14"/>
          </w:rPr>
          <w:t>2021;39:1319–25</w:t>
        </w:r>
      </w:hyperlink>
      <w:r>
        <w:rPr>
          <w:sz w:val="14"/>
        </w:rPr>
        <w:t>.</w:t>
      </w:r>
    </w:p>
    <w:p>
      <w:pPr>
        <w:pStyle w:val="ListParagraph"/>
        <w:numPr>
          <w:ilvl w:val="3"/>
          <w:numId w:val="3"/>
        </w:numPr>
        <w:tabs>
          <w:tab w:pos="473" w:val="left" w:leader="none"/>
        </w:tabs>
        <w:spacing w:line="247" w:lineRule="auto" w:before="0" w:after="0"/>
        <w:ind w:left="472" w:right="252" w:hanging="297"/>
        <w:jc w:val="both"/>
        <w:rPr>
          <w:sz w:val="14"/>
        </w:rPr>
      </w:pPr>
      <w:hyperlink r:id="rId83">
        <w:r>
          <w:rPr>
            <w:color w:val="127EAD"/>
            <w:sz w:val="14"/>
          </w:rPr>
          <w:t>Chen L, Wang L, Sun J, Qin J, Tang C, Jin H, et al. Midodrine hydro-</w:t>
        </w:r>
      </w:hyperlink>
      <w:r>
        <w:rPr>
          <w:color w:val="127EAD"/>
          <w:sz w:val="14"/>
        </w:rPr>
        <w:t> </w:t>
      </w:r>
      <w:hyperlink r:id="rId83">
        <w:r>
          <w:rPr>
            <w:color w:val="127EAD"/>
            <w:sz w:val="14"/>
          </w:rPr>
          <w:t>chloride is effective in the treatment of children with postural ortho-</w:t>
        </w:r>
      </w:hyperlink>
      <w:r>
        <w:rPr>
          <w:color w:val="127EAD"/>
          <w:sz w:val="14"/>
        </w:rPr>
        <w:t> </w:t>
      </w:r>
      <w:bookmarkStart w:name="_bookmark64" w:id="92"/>
      <w:bookmarkEnd w:id="92"/>
      <w:r>
        <w:rPr>
          <w:color w:val="127EAD"/>
          <w:sz w:val="14"/>
        </w:rPr>
      </w:r>
      <w:hyperlink r:id="rId83">
        <w:r>
          <w:rPr>
            <w:color w:val="127EAD"/>
            <w:sz w:val="14"/>
          </w:rPr>
          <w:t>static tachycardia syndrome. Circ J. </w:t>
        </w:r>
        <w:r>
          <w:rPr>
            <w:color w:val="127EAD"/>
            <w:spacing w:val="7"/>
            <w:sz w:val="14"/>
          </w:rPr>
          <w:t> </w:t>
        </w:r>
        <w:r>
          <w:rPr>
            <w:color w:val="127EAD"/>
            <w:sz w:val="14"/>
          </w:rPr>
          <w:t>2011;75:927–31</w:t>
        </w:r>
      </w:hyperlink>
      <w:r>
        <w:rPr>
          <w:sz w:val="14"/>
        </w:rPr>
        <w:t>.</w:t>
      </w:r>
    </w:p>
    <w:p>
      <w:pPr>
        <w:pStyle w:val="ListParagraph"/>
        <w:numPr>
          <w:ilvl w:val="3"/>
          <w:numId w:val="3"/>
        </w:numPr>
        <w:tabs>
          <w:tab w:pos="473" w:val="left" w:leader="none"/>
        </w:tabs>
        <w:spacing w:line="247" w:lineRule="auto" w:before="0" w:after="0"/>
        <w:ind w:left="472" w:right="252" w:hanging="297"/>
        <w:jc w:val="both"/>
        <w:rPr>
          <w:sz w:val="14"/>
        </w:rPr>
      </w:pPr>
      <w:hyperlink r:id="rId84">
        <w:r>
          <w:rPr>
            <w:color w:val="127EAD"/>
            <w:sz w:val="14"/>
          </w:rPr>
          <w:t>Ross AJ, Ocon AJ, Medow MS, Stewart JM. A double-blind placebo-</w:t>
        </w:r>
      </w:hyperlink>
      <w:r>
        <w:rPr>
          <w:color w:val="127EAD"/>
          <w:sz w:val="14"/>
        </w:rPr>
        <w:t> </w:t>
      </w:r>
      <w:hyperlink r:id="rId84">
        <w:r>
          <w:rPr>
            <w:color w:val="127EAD"/>
            <w:sz w:val="14"/>
          </w:rPr>
          <w:t>controlled cross-over study of the vascular effects of midodrine in</w:t>
        </w:r>
      </w:hyperlink>
      <w:r>
        <w:rPr>
          <w:color w:val="127EAD"/>
          <w:sz w:val="14"/>
        </w:rPr>
        <w:t> </w:t>
      </w:r>
      <w:hyperlink r:id="rId84">
        <w:r>
          <w:rPr>
            <w:color w:val="127EAD"/>
            <w:sz w:val="14"/>
          </w:rPr>
          <w:t>neuropathic compared with hyperadrenergic postural tachycardia</w:t>
        </w:r>
      </w:hyperlink>
      <w:r>
        <w:rPr>
          <w:color w:val="127EAD"/>
          <w:sz w:val="14"/>
        </w:rPr>
        <w:t> </w:t>
      </w:r>
      <w:bookmarkStart w:name="_bookmark65" w:id="93"/>
      <w:bookmarkEnd w:id="93"/>
      <w:r>
        <w:rPr>
          <w:color w:val="127EAD"/>
          <w:sz w:val="14"/>
        </w:rPr>
      </w:r>
      <w:hyperlink r:id="rId84">
        <w:r>
          <w:rPr>
            <w:color w:val="127EAD"/>
            <w:sz w:val="14"/>
          </w:rPr>
          <w:t>syndrome. Clin Sci (Lond).</w:t>
        </w:r>
        <w:r>
          <w:rPr>
            <w:color w:val="127EAD"/>
            <w:spacing w:val="33"/>
            <w:sz w:val="14"/>
          </w:rPr>
          <w:t> </w:t>
        </w:r>
        <w:r>
          <w:rPr>
            <w:color w:val="127EAD"/>
            <w:sz w:val="14"/>
          </w:rPr>
          <w:t>2014;126:289–96</w:t>
        </w:r>
      </w:hyperlink>
      <w:r>
        <w:rPr>
          <w:sz w:val="14"/>
        </w:rPr>
        <w:t>.</w:t>
      </w:r>
    </w:p>
    <w:p>
      <w:pPr>
        <w:pStyle w:val="ListParagraph"/>
        <w:numPr>
          <w:ilvl w:val="3"/>
          <w:numId w:val="3"/>
        </w:numPr>
        <w:tabs>
          <w:tab w:pos="473" w:val="left" w:leader="none"/>
        </w:tabs>
        <w:spacing w:line="247" w:lineRule="auto" w:before="0" w:after="0"/>
        <w:ind w:left="472" w:right="252" w:hanging="297"/>
        <w:jc w:val="both"/>
        <w:rPr>
          <w:sz w:val="14"/>
        </w:rPr>
      </w:pPr>
      <w:hyperlink r:id="rId85">
        <w:r>
          <w:rPr>
            <w:color w:val="127EAD"/>
            <w:sz w:val="14"/>
          </w:rPr>
          <w:t>Taub PR, Zadourian A, Lo HC, Ormiston CK, Golshan S, Hsu JC.</w:t>
        </w:r>
      </w:hyperlink>
      <w:r>
        <w:rPr>
          <w:color w:val="127EAD"/>
          <w:sz w:val="14"/>
        </w:rPr>
        <w:t> </w:t>
      </w:r>
      <w:hyperlink r:id="rId85">
        <w:r>
          <w:rPr>
            <w:color w:val="127EAD"/>
            <w:sz w:val="14"/>
          </w:rPr>
          <w:t>Randomized trial of ivabradine in patients with hyperadrenergic</w:t>
        </w:r>
      </w:hyperlink>
      <w:r>
        <w:rPr>
          <w:color w:val="127EAD"/>
          <w:sz w:val="14"/>
        </w:rPr>
        <w:t> </w:t>
      </w:r>
      <w:hyperlink r:id="rId85">
        <w:r>
          <w:rPr>
            <w:color w:val="127EAD"/>
            <w:sz w:val="14"/>
          </w:rPr>
          <w:t>postural orthostatic tachycardia syndrome. J Am Coll Cardiol.</w:t>
        </w:r>
      </w:hyperlink>
      <w:r>
        <w:rPr>
          <w:color w:val="127EAD"/>
          <w:sz w:val="14"/>
        </w:rPr>
        <w:t> </w:t>
      </w:r>
      <w:bookmarkStart w:name="_bookmark66" w:id="94"/>
      <w:bookmarkEnd w:id="94"/>
      <w:r>
        <w:rPr>
          <w:color w:val="127EAD"/>
          <w:sz w:val="14"/>
        </w:rPr>
      </w:r>
      <w:hyperlink r:id="rId85">
        <w:r>
          <w:rPr>
            <w:color w:val="127EAD"/>
            <w:sz w:val="14"/>
          </w:rPr>
          <w:t>2021;77:861–71</w:t>
        </w:r>
      </w:hyperlink>
      <w:r>
        <w:rPr>
          <w:sz w:val="14"/>
        </w:rPr>
        <w:t>.</w:t>
      </w:r>
    </w:p>
    <w:p>
      <w:pPr>
        <w:pStyle w:val="ListParagraph"/>
        <w:numPr>
          <w:ilvl w:val="3"/>
          <w:numId w:val="3"/>
        </w:numPr>
        <w:tabs>
          <w:tab w:pos="473" w:val="left" w:leader="none"/>
        </w:tabs>
        <w:spacing w:line="247" w:lineRule="auto" w:before="0" w:after="0"/>
        <w:ind w:left="472" w:right="249" w:hanging="297"/>
        <w:jc w:val="both"/>
        <w:rPr>
          <w:sz w:val="14"/>
        </w:rPr>
      </w:pPr>
      <w:hyperlink r:id="rId86">
        <w:r>
          <w:rPr>
            <w:color w:val="127EAD"/>
            <w:sz w:val="14"/>
          </w:rPr>
          <w:t>Raj SR, Black BK, Biaggioni I, Paranjape SY, Ramirez M, Dupont </w:t>
        </w:r>
        <w:r>
          <w:rPr>
            <w:color w:val="127EAD"/>
            <w:spacing w:val="2"/>
            <w:sz w:val="14"/>
          </w:rPr>
          <w:t>WD,</w:t>
        </w:r>
      </w:hyperlink>
      <w:r>
        <w:rPr>
          <w:color w:val="127EAD"/>
          <w:spacing w:val="2"/>
          <w:sz w:val="14"/>
        </w:rPr>
        <w:t> </w:t>
      </w:r>
      <w:hyperlink r:id="rId86">
        <w:r>
          <w:rPr>
            <w:color w:val="127EAD"/>
            <w:sz w:val="14"/>
          </w:rPr>
          <w:t>et al. Propranolol decreases tachycardia and  improves symptoms  in</w:t>
        </w:r>
      </w:hyperlink>
      <w:r>
        <w:rPr>
          <w:color w:val="127EAD"/>
          <w:sz w:val="14"/>
        </w:rPr>
        <w:t> </w:t>
      </w:r>
      <w:hyperlink r:id="rId86">
        <w:r>
          <w:rPr>
            <w:color w:val="127EAD"/>
            <w:sz w:val="14"/>
          </w:rPr>
          <w:t>the postural tachycardia syndrome: less is more. </w:t>
        </w:r>
        <w:r>
          <w:rPr>
            <w:color w:val="127EAD"/>
            <w:spacing w:val="2"/>
            <w:sz w:val="14"/>
          </w:rPr>
          <w:t>Circulation.</w:t>
        </w:r>
      </w:hyperlink>
      <w:r>
        <w:rPr>
          <w:color w:val="127EAD"/>
          <w:spacing w:val="2"/>
          <w:sz w:val="14"/>
        </w:rPr>
        <w:t> </w:t>
      </w:r>
      <w:bookmarkStart w:name="_bookmark67" w:id="95"/>
      <w:bookmarkEnd w:id="95"/>
      <w:r>
        <w:rPr>
          <w:color w:val="127EAD"/>
          <w:spacing w:val="2"/>
          <w:sz w:val="14"/>
        </w:rPr>
      </w:r>
      <w:hyperlink r:id="rId86">
        <w:r>
          <w:rPr>
            <w:color w:val="127EAD"/>
            <w:sz w:val="14"/>
          </w:rPr>
          <w:t>2009;120:725–34</w:t>
        </w:r>
      </w:hyperlink>
      <w:r>
        <w:rPr>
          <w:sz w:val="14"/>
        </w:rPr>
        <w:t>.</w:t>
      </w:r>
    </w:p>
    <w:p>
      <w:pPr>
        <w:pStyle w:val="ListParagraph"/>
        <w:numPr>
          <w:ilvl w:val="3"/>
          <w:numId w:val="3"/>
        </w:numPr>
        <w:tabs>
          <w:tab w:pos="473" w:val="left" w:leader="none"/>
        </w:tabs>
        <w:spacing w:line="247" w:lineRule="auto" w:before="0" w:after="0"/>
        <w:ind w:left="472" w:right="250" w:hanging="297"/>
        <w:jc w:val="both"/>
        <w:rPr>
          <w:sz w:val="14"/>
        </w:rPr>
      </w:pPr>
      <w:hyperlink r:id="rId87">
        <w:r>
          <w:rPr>
            <w:color w:val="127EAD"/>
            <w:sz w:val="14"/>
          </w:rPr>
          <w:t>Arnold AC, Okamoto LE, Diedrich A, Paranjape  SY,  Raj  SR,</w:t>
        </w:r>
      </w:hyperlink>
      <w:r>
        <w:rPr>
          <w:color w:val="127EAD"/>
          <w:sz w:val="14"/>
        </w:rPr>
        <w:t>  </w:t>
      </w:r>
      <w:hyperlink r:id="rId87">
        <w:r>
          <w:rPr>
            <w:color w:val="127EAD"/>
            <w:sz w:val="14"/>
          </w:rPr>
          <w:t>Biaggioni I, et al. Low-dose propranolol and exercise capacity in</w:t>
        </w:r>
      </w:hyperlink>
      <w:r>
        <w:rPr>
          <w:color w:val="127EAD"/>
          <w:sz w:val="14"/>
        </w:rPr>
        <w:t> </w:t>
      </w:r>
      <w:hyperlink r:id="rId87">
        <w:r>
          <w:rPr>
            <w:color w:val="127EAD"/>
            <w:sz w:val="14"/>
          </w:rPr>
          <w:t>postural tachycardia syndrome: a randomized study. Neurology.</w:t>
        </w:r>
      </w:hyperlink>
      <w:r>
        <w:rPr>
          <w:color w:val="127EAD"/>
          <w:sz w:val="14"/>
        </w:rPr>
        <w:t> </w:t>
      </w:r>
      <w:bookmarkStart w:name="_bookmark68" w:id="96"/>
      <w:bookmarkEnd w:id="96"/>
      <w:r>
        <w:rPr>
          <w:color w:val="127EAD"/>
          <w:sz w:val="14"/>
        </w:rPr>
      </w:r>
      <w:hyperlink r:id="rId87">
        <w:r>
          <w:rPr>
            <w:color w:val="127EAD"/>
            <w:sz w:val="14"/>
          </w:rPr>
          <w:t>2013;80:1927–33</w:t>
        </w:r>
      </w:hyperlink>
      <w:r>
        <w:rPr>
          <w:sz w:val="14"/>
        </w:rPr>
        <w:t>.</w:t>
      </w:r>
    </w:p>
    <w:p>
      <w:pPr>
        <w:pStyle w:val="ListParagraph"/>
        <w:numPr>
          <w:ilvl w:val="3"/>
          <w:numId w:val="3"/>
        </w:numPr>
        <w:tabs>
          <w:tab w:pos="473" w:val="left" w:leader="none"/>
        </w:tabs>
        <w:spacing w:line="247" w:lineRule="auto" w:before="0" w:after="0"/>
        <w:ind w:left="472" w:right="252" w:hanging="297"/>
        <w:jc w:val="both"/>
        <w:rPr>
          <w:sz w:val="14"/>
        </w:rPr>
      </w:pPr>
      <w:hyperlink r:id="rId88">
        <w:r>
          <w:rPr>
            <w:color w:val="127EAD"/>
            <w:sz w:val="14"/>
          </w:rPr>
          <w:t>Raj SR, Black BK, Biaggioni I, Harris PA, Robertson D. Acetylcholin-</w:t>
        </w:r>
      </w:hyperlink>
      <w:r>
        <w:rPr>
          <w:color w:val="127EAD"/>
          <w:sz w:val="14"/>
        </w:rPr>
        <w:t> </w:t>
      </w:r>
      <w:hyperlink r:id="rId88">
        <w:r>
          <w:rPr>
            <w:color w:val="127EAD"/>
            <w:sz w:val="14"/>
          </w:rPr>
          <w:t>esterase inhibition improves tachycardia in postural tachycardia syn-</w:t>
        </w:r>
      </w:hyperlink>
      <w:r>
        <w:rPr>
          <w:color w:val="127EAD"/>
          <w:sz w:val="14"/>
        </w:rPr>
        <w:t> </w:t>
      </w:r>
      <w:bookmarkStart w:name="_bookmark69" w:id="97"/>
      <w:bookmarkEnd w:id="97"/>
      <w:r>
        <w:rPr>
          <w:color w:val="127EAD"/>
          <w:sz w:val="14"/>
        </w:rPr>
      </w:r>
      <w:hyperlink r:id="rId88">
        <w:r>
          <w:rPr>
            <w:color w:val="127EAD"/>
            <w:sz w:val="14"/>
          </w:rPr>
          <w:t>drome. Circulation.</w:t>
        </w:r>
        <w:r>
          <w:rPr>
            <w:color w:val="127EAD"/>
            <w:spacing w:val="13"/>
            <w:sz w:val="14"/>
          </w:rPr>
          <w:t> </w:t>
        </w:r>
        <w:r>
          <w:rPr>
            <w:color w:val="127EAD"/>
            <w:sz w:val="14"/>
          </w:rPr>
          <w:t>2005;111:2734–40</w:t>
        </w:r>
      </w:hyperlink>
      <w:r>
        <w:rPr>
          <w:sz w:val="14"/>
        </w:rPr>
        <w:t>.</w:t>
      </w:r>
    </w:p>
    <w:p>
      <w:pPr>
        <w:pStyle w:val="ListParagraph"/>
        <w:numPr>
          <w:ilvl w:val="3"/>
          <w:numId w:val="3"/>
        </w:numPr>
        <w:tabs>
          <w:tab w:pos="473" w:val="left" w:leader="none"/>
        </w:tabs>
        <w:spacing w:line="247" w:lineRule="auto" w:before="0" w:after="0"/>
        <w:ind w:left="472" w:right="252" w:hanging="297"/>
        <w:jc w:val="both"/>
        <w:rPr>
          <w:sz w:val="14"/>
        </w:rPr>
      </w:pPr>
      <w:hyperlink r:id="rId89">
        <w:r>
          <w:rPr>
            <w:color w:val="127EAD"/>
            <w:sz w:val="14"/>
          </w:rPr>
          <w:t>Kanjwal K, Karabin B, Sheikh M, Elmer L, Kanjwal Y, Saeed B, et al.</w:t>
        </w:r>
      </w:hyperlink>
      <w:r>
        <w:rPr>
          <w:color w:val="127EAD"/>
          <w:sz w:val="14"/>
        </w:rPr>
        <w:t> </w:t>
      </w:r>
      <w:hyperlink r:id="rId89">
        <w:r>
          <w:rPr>
            <w:color w:val="127EAD"/>
            <w:sz w:val="14"/>
          </w:rPr>
          <w:t>Pyridostigmine in the treatment of postural orthostatic tachycardia: a</w:t>
        </w:r>
      </w:hyperlink>
      <w:r>
        <w:rPr>
          <w:color w:val="127EAD"/>
          <w:sz w:val="14"/>
        </w:rPr>
        <w:t> </w:t>
      </w:r>
      <w:bookmarkStart w:name="_bookmark70" w:id="98"/>
      <w:bookmarkEnd w:id="98"/>
      <w:r>
        <w:rPr>
          <w:color w:val="127EAD"/>
          <w:sz w:val="14"/>
        </w:rPr>
      </w:r>
      <w:hyperlink r:id="rId89">
        <w:r>
          <w:rPr>
            <w:color w:val="127EAD"/>
            <w:sz w:val="14"/>
          </w:rPr>
          <w:t>single-center experience. Pacing Clin Electrophysiol. </w:t>
        </w:r>
        <w:r>
          <w:rPr>
            <w:color w:val="127EAD"/>
            <w:spacing w:val="4"/>
            <w:sz w:val="14"/>
          </w:rPr>
          <w:t> </w:t>
        </w:r>
        <w:r>
          <w:rPr>
            <w:color w:val="127EAD"/>
            <w:sz w:val="14"/>
          </w:rPr>
          <w:t>2011;34:750–5</w:t>
        </w:r>
      </w:hyperlink>
      <w:r>
        <w:rPr>
          <w:sz w:val="14"/>
        </w:rPr>
        <w:t>.</w:t>
      </w:r>
    </w:p>
    <w:p>
      <w:pPr>
        <w:pStyle w:val="ListParagraph"/>
        <w:numPr>
          <w:ilvl w:val="3"/>
          <w:numId w:val="3"/>
        </w:numPr>
        <w:tabs>
          <w:tab w:pos="473" w:val="left" w:leader="none"/>
        </w:tabs>
        <w:spacing w:line="247" w:lineRule="auto" w:before="0" w:after="0"/>
        <w:ind w:left="472" w:right="252" w:hanging="297"/>
        <w:jc w:val="both"/>
        <w:rPr>
          <w:sz w:val="14"/>
        </w:rPr>
      </w:pPr>
      <w:hyperlink r:id="rId90">
        <w:r>
          <w:rPr>
            <w:color w:val="127EAD"/>
            <w:sz w:val="14"/>
          </w:rPr>
          <w:t>Coffin ST, Black BK, Biaggioni I, Paranjape SY, Orozco C, Black PW,</w:t>
        </w:r>
      </w:hyperlink>
      <w:r>
        <w:rPr>
          <w:color w:val="127EAD"/>
          <w:sz w:val="14"/>
        </w:rPr>
        <w:t>     </w:t>
      </w:r>
      <w:hyperlink r:id="rId90">
        <w:r>
          <w:rPr>
            <w:color w:val="127EAD"/>
            <w:sz w:val="14"/>
          </w:rPr>
          <w:t>et al. Desmopressin acutely decreases tachycardia and improves</w:t>
        </w:r>
      </w:hyperlink>
      <w:r>
        <w:rPr>
          <w:color w:val="127EAD"/>
          <w:sz w:val="14"/>
        </w:rPr>
        <w:t> </w:t>
      </w:r>
      <w:hyperlink r:id="rId90">
        <w:r>
          <w:rPr>
            <w:color w:val="127EAD"/>
            <w:sz w:val="14"/>
          </w:rPr>
          <w:t>symptoms in the postural tachycardia syndrome. Heart Rhythm.</w:t>
        </w:r>
      </w:hyperlink>
      <w:r>
        <w:rPr>
          <w:color w:val="127EAD"/>
          <w:sz w:val="14"/>
        </w:rPr>
        <w:t> </w:t>
      </w:r>
      <w:bookmarkStart w:name="_bookmark71" w:id="99"/>
      <w:bookmarkEnd w:id="99"/>
      <w:r>
        <w:rPr>
          <w:color w:val="127EAD"/>
          <w:sz w:val="14"/>
        </w:rPr>
      </w:r>
      <w:hyperlink r:id="rId90">
        <w:r>
          <w:rPr>
            <w:color w:val="127EAD"/>
            <w:sz w:val="14"/>
          </w:rPr>
          <w:t>2012;9:1484–90</w:t>
        </w:r>
      </w:hyperlink>
      <w:r>
        <w:rPr>
          <w:sz w:val="14"/>
        </w:rPr>
        <w:t>.</w:t>
      </w:r>
    </w:p>
    <w:p>
      <w:pPr>
        <w:pStyle w:val="ListParagraph"/>
        <w:numPr>
          <w:ilvl w:val="3"/>
          <w:numId w:val="3"/>
        </w:numPr>
        <w:tabs>
          <w:tab w:pos="473" w:val="left" w:leader="none"/>
        </w:tabs>
        <w:spacing w:line="247" w:lineRule="auto" w:before="1" w:after="0"/>
        <w:ind w:left="472" w:right="252" w:hanging="297"/>
        <w:jc w:val="both"/>
        <w:rPr>
          <w:sz w:val="14"/>
        </w:rPr>
      </w:pPr>
      <w:hyperlink r:id="rId91">
        <w:r>
          <w:rPr>
            <w:color w:val="127EAD"/>
            <w:sz w:val="14"/>
          </w:rPr>
          <w:t>Seeley MC, Thynne TR, Braund WJ, Worthley DL, Gallagher  C,</w:t>
        </w:r>
      </w:hyperlink>
      <w:r>
        <w:rPr>
          <w:color w:val="127EAD"/>
          <w:sz w:val="14"/>
        </w:rPr>
        <w:t> </w:t>
      </w:r>
      <w:hyperlink r:id="rId91">
        <w:r>
          <w:rPr>
            <w:color w:val="127EAD"/>
            <w:sz w:val="14"/>
          </w:rPr>
          <w:t>Sanders P, et al. Desmopressin as a novel long-term treatment in</w:t>
        </w:r>
      </w:hyperlink>
      <w:r>
        <w:rPr>
          <w:color w:val="127EAD"/>
          <w:sz w:val="14"/>
        </w:rPr>
        <w:t> </w:t>
      </w:r>
      <w:hyperlink r:id="rId91">
        <w:r>
          <w:rPr>
            <w:color w:val="127EAD"/>
            <w:sz w:val="14"/>
          </w:rPr>
          <w:t>postural tachycardia syndrome patients with polyuria. Am J Med.</w:t>
        </w:r>
      </w:hyperlink>
      <w:r>
        <w:rPr>
          <w:color w:val="127EAD"/>
          <w:sz w:val="14"/>
        </w:rPr>
        <w:t> </w:t>
      </w:r>
      <w:bookmarkStart w:name="_bookmark72" w:id="100"/>
      <w:bookmarkEnd w:id="100"/>
      <w:r>
        <w:rPr>
          <w:color w:val="127EAD"/>
          <w:sz w:val="14"/>
        </w:rPr>
      </w:r>
      <w:hyperlink r:id="rId91">
        <w:r>
          <w:rPr>
            <w:color w:val="127EAD"/>
            <w:sz w:val="14"/>
          </w:rPr>
          <w:t>2021;134:e486–7</w:t>
        </w:r>
      </w:hyperlink>
      <w:r>
        <w:rPr>
          <w:sz w:val="14"/>
        </w:rPr>
        <w:t>.</w:t>
      </w:r>
    </w:p>
    <w:p>
      <w:pPr>
        <w:pStyle w:val="ListParagraph"/>
        <w:numPr>
          <w:ilvl w:val="3"/>
          <w:numId w:val="3"/>
        </w:numPr>
        <w:tabs>
          <w:tab w:pos="473" w:val="left" w:leader="none"/>
        </w:tabs>
        <w:spacing w:line="247" w:lineRule="auto" w:before="0" w:after="0"/>
        <w:ind w:left="472" w:right="252" w:hanging="297"/>
        <w:jc w:val="both"/>
        <w:rPr>
          <w:sz w:val="14"/>
        </w:rPr>
      </w:pPr>
      <w:hyperlink r:id="rId92">
        <w:r>
          <w:rPr>
            <w:color w:val="127EAD"/>
            <w:sz w:val="14"/>
          </w:rPr>
          <w:t>Moak JP, Leong D, Fabian R, Freedenberg V, Jarosz E, Toney C, et al.</w:t>
        </w:r>
      </w:hyperlink>
      <w:r>
        <w:rPr>
          <w:color w:val="127EAD"/>
          <w:sz w:val="14"/>
        </w:rPr>
        <w:t> </w:t>
      </w:r>
      <w:hyperlink r:id="rId92">
        <w:r>
          <w:rPr>
            <w:color w:val="127EAD"/>
            <w:sz w:val="14"/>
          </w:rPr>
          <w:t>Intravenous hydration for management of medication-resistant ortho-</w:t>
        </w:r>
      </w:hyperlink>
      <w:r>
        <w:rPr>
          <w:color w:val="127EAD"/>
          <w:sz w:val="14"/>
        </w:rPr>
        <w:t> </w:t>
      </w:r>
      <w:hyperlink r:id="rId92">
        <w:r>
          <w:rPr>
            <w:color w:val="127EAD"/>
            <w:sz w:val="14"/>
          </w:rPr>
          <w:t>static intolerance in the adolescent and young adult. Pediatr Cardiol.</w:t>
        </w:r>
      </w:hyperlink>
      <w:r>
        <w:rPr>
          <w:color w:val="127EAD"/>
          <w:sz w:val="14"/>
        </w:rPr>
        <w:t> </w:t>
      </w:r>
      <w:bookmarkStart w:name="_bookmark73" w:id="101"/>
      <w:bookmarkEnd w:id="101"/>
      <w:r>
        <w:rPr>
          <w:color w:val="127EAD"/>
          <w:sz w:val="14"/>
        </w:rPr>
      </w:r>
      <w:hyperlink r:id="rId92">
        <w:r>
          <w:rPr>
            <w:color w:val="127EAD"/>
            <w:sz w:val="14"/>
          </w:rPr>
          <w:t>2016;37:278–82</w:t>
        </w:r>
      </w:hyperlink>
      <w:r>
        <w:rPr>
          <w:sz w:val="14"/>
        </w:rPr>
        <w:t>.</w:t>
      </w:r>
    </w:p>
    <w:p>
      <w:pPr>
        <w:pStyle w:val="ListParagraph"/>
        <w:numPr>
          <w:ilvl w:val="3"/>
          <w:numId w:val="3"/>
        </w:numPr>
        <w:tabs>
          <w:tab w:pos="473" w:val="left" w:leader="none"/>
        </w:tabs>
        <w:spacing w:line="247" w:lineRule="auto" w:before="0" w:after="0"/>
        <w:ind w:left="472" w:right="252" w:hanging="297"/>
        <w:jc w:val="both"/>
        <w:rPr>
          <w:sz w:val="14"/>
        </w:rPr>
      </w:pPr>
      <w:hyperlink r:id="rId93">
        <w:r>
          <w:rPr>
            <w:color w:val="127EAD"/>
            <w:sz w:val="14"/>
          </w:rPr>
          <w:t>Lin S, Kote A, Andersson T, Goldhaber JI, Tisdale JE, Li X, et al. Using</w:t>
        </w:r>
      </w:hyperlink>
      <w:r>
        <w:rPr>
          <w:color w:val="127EAD"/>
          <w:sz w:val="14"/>
        </w:rPr>
        <w:t> </w:t>
      </w:r>
      <w:hyperlink r:id="rId93">
        <w:r>
          <w:rPr>
            <w:color w:val="127EAD"/>
            <w:sz w:val="14"/>
          </w:rPr>
          <w:t>clonidine for neuromodulation in patients with postural orthostatic</w:t>
        </w:r>
      </w:hyperlink>
      <w:r>
        <w:rPr>
          <w:color w:val="127EAD"/>
          <w:sz w:val="14"/>
        </w:rPr>
        <w:t> </w:t>
      </w:r>
      <w:bookmarkStart w:name="_bookmark74" w:id="102"/>
      <w:bookmarkEnd w:id="102"/>
      <w:r>
        <w:rPr>
          <w:color w:val="127EAD"/>
          <w:sz w:val="14"/>
        </w:rPr>
      </w:r>
      <w:hyperlink r:id="rId93">
        <w:r>
          <w:rPr>
            <w:color w:val="127EAD"/>
            <w:sz w:val="14"/>
          </w:rPr>
          <w:t>tachycardia syndrome. Heart Rhythm.</w:t>
        </w:r>
        <w:r>
          <w:rPr>
            <w:color w:val="127EAD"/>
            <w:spacing w:val="30"/>
            <w:sz w:val="14"/>
          </w:rPr>
          <w:t> </w:t>
        </w:r>
        <w:r>
          <w:rPr>
            <w:color w:val="127EAD"/>
            <w:sz w:val="14"/>
          </w:rPr>
          <w:t>2025;22:e781–90</w:t>
        </w:r>
      </w:hyperlink>
      <w:r>
        <w:rPr>
          <w:sz w:val="14"/>
        </w:rPr>
        <w:t>.</w:t>
      </w:r>
    </w:p>
    <w:p>
      <w:pPr>
        <w:pStyle w:val="ListParagraph"/>
        <w:numPr>
          <w:ilvl w:val="3"/>
          <w:numId w:val="3"/>
        </w:numPr>
        <w:tabs>
          <w:tab w:pos="473" w:val="left" w:leader="none"/>
        </w:tabs>
        <w:spacing w:line="247" w:lineRule="auto" w:before="0" w:after="0"/>
        <w:ind w:left="472" w:right="252" w:hanging="297"/>
        <w:jc w:val="both"/>
        <w:rPr>
          <w:sz w:val="14"/>
        </w:rPr>
      </w:pPr>
      <w:hyperlink r:id="rId94">
        <w:r>
          <w:rPr>
            <w:color w:val="127EAD"/>
            <w:sz w:val="14"/>
          </w:rPr>
          <w:t>Blitshteyn S, Funez-dePagnier G, Szombathy A, Hutchinson M. Im-</w:t>
        </w:r>
      </w:hyperlink>
      <w:r>
        <w:rPr>
          <w:color w:val="127EAD"/>
          <w:sz w:val="14"/>
        </w:rPr>
        <w:t> </w:t>
      </w:r>
      <w:hyperlink r:id="rId94">
        <w:r>
          <w:rPr>
            <w:color w:val="127EAD"/>
            <w:sz w:val="14"/>
          </w:rPr>
          <w:t>munotherapies for postural orthostatic tachycardia syndrome, other</w:t>
        </w:r>
      </w:hyperlink>
      <w:r>
        <w:rPr>
          <w:color w:val="127EAD"/>
          <w:sz w:val="14"/>
        </w:rPr>
        <w:t> </w:t>
      </w:r>
      <w:hyperlink r:id="rId94">
        <w:r>
          <w:rPr>
            <w:color w:val="127EAD"/>
            <w:sz w:val="14"/>
          </w:rPr>
          <w:t>common autonomic disorders and long COVID: current state and</w:t>
        </w:r>
      </w:hyperlink>
      <w:r>
        <w:rPr>
          <w:color w:val="127EAD"/>
          <w:sz w:val="14"/>
        </w:rPr>
        <w:t> </w:t>
      </w:r>
      <w:bookmarkStart w:name="_bookmark75" w:id="103"/>
      <w:bookmarkEnd w:id="103"/>
      <w:r>
        <w:rPr>
          <w:color w:val="127EAD"/>
          <w:sz w:val="14"/>
        </w:rPr>
      </w:r>
      <w:hyperlink r:id="rId94">
        <w:r>
          <w:rPr>
            <w:color w:val="127EAD"/>
            <w:sz w:val="14"/>
          </w:rPr>
          <w:t>future direction. Front Cell Infect Microbiol. </w:t>
        </w:r>
        <w:r>
          <w:rPr>
            <w:color w:val="127EAD"/>
            <w:spacing w:val="13"/>
            <w:sz w:val="14"/>
          </w:rPr>
          <w:t> </w:t>
        </w:r>
        <w:r>
          <w:rPr>
            <w:color w:val="127EAD"/>
            <w:sz w:val="14"/>
          </w:rPr>
          <w:t>2025;15:1647203</w:t>
        </w:r>
      </w:hyperlink>
      <w:r>
        <w:rPr>
          <w:sz w:val="14"/>
        </w:rPr>
        <w:t>.</w:t>
      </w:r>
    </w:p>
    <w:p>
      <w:pPr>
        <w:pStyle w:val="ListParagraph"/>
        <w:numPr>
          <w:ilvl w:val="3"/>
          <w:numId w:val="3"/>
        </w:numPr>
        <w:tabs>
          <w:tab w:pos="473" w:val="left" w:leader="none"/>
        </w:tabs>
        <w:spacing w:line="247" w:lineRule="auto" w:before="0" w:after="0"/>
        <w:ind w:left="472" w:right="252" w:hanging="297"/>
        <w:jc w:val="both"/>
        <w:rPr>
          <w:sz w:val="14"/>
        </w:rPr>
      </w:pPr>
      <w:hyperlink r:id="rId95">
        <w:r>
          <w:rPr>
            <w:color w:val="127EAD"/>
            <w:sz w:val="14"/>
          </w:rPr>
          <w:t>Schofield JR, Chemali KR. Intravenous immunoglobulin therapy in</w:t>
        </w:r>
      </w:hyperlink>
      <w:r>
        <w:rPr>
          <w:color w:val="127EAD"/>
          <w:sz w:val="14"/>
        </w:rPr>
        <w:t> </w:t>
      </w:r>
      <w:hyperlink r:id="rId95">
        <w:r>
          <w:rPr>
            <w:color w:val="127EAD"/>
            <w:sz w:val="14"/>
          </w:rPr>
          <w:t>refractory autoimmune dysautonomias: a retrospective analysis of 38</w:t>
        </w:r>
      </w:hyperlink>
      <w:r>
        <w:rPr>
          <w:color w:val="127EAD"/>
          <w:sz w:val="14"/>
        </w:rPr>
        <w:t> </w:t>
      </w:r>
      <w:hyperlink r:id="rId95">
        <w:r>
          <w:rPr>
            <w:color w:val="127EAD"/>
            <w:sz w:val="14"/>
          </w:rPr>
          <w:t>patients. Am J Ther.  2019;26:570–82</w:t>
        </w:r>
      </w:hyperlink>
      <w:r>
        <w:rPr>
          <w:sz w:val="14"/>
        </w:rPr>
        <w:t>.</w:t>
      </w:r>
    </w:p>
    <w:p>
      <w:pPr>
        <w:pStyle w:val="ListParagraph"/>
        <w:numPr>
          <w:ilvl w:val="3"/>
          <w:numId w:val="3"/>
        </w:numPr>
        <w:tabs>
          <w:tab w:pos="473" w:val="left" w:leader="none"/>
        </w:tabs>
        <w:spacing w:line="247" w:lineRule="auto" w:before="95" w:after="0"/>
        <w:ind w:left="472" w:right="114" w:hanging="297"/>
        <w:jc w:val="both"/>
        <w:rPr>
          <w:sz w:val="14"/>
        </w:rPr>
      </w:pPr>
      <w:hyperlink r:id="rId96">
        <w:r>
          <w:rPr>
            <w:color w:val="127EAD"/>
            <w:spacing w:val="-2"/>
            <w:w w:val="99"/>
            <w:sz w:val="14"/>
          </w:rPr>
          <w:br w:type="column"/>
        </w:r>
        <w:r>
          <w:rPr>
            <w:color w:val="127EAD"/>
            <w:sz w:val="14"/>
          </w:rPr>
          <w:t>Schofield JR, Chemali KR. How we treat autoimmune small fiber poly-</w:t>
        </w:r>
      </w:hyperlink>
      <w:r>
        <w:rPr>
          <w:color w:val="127EAD"/>
          <w:sz w:val="14"/>
        </w:rPr>
        <w:t> </w:t>
      </w:r>
      <w:hyperlink r:id="rId96">
        <w:r>
          <w:rPr>
            <w:color w:val="127EAD"/>
            <w:sz w:val="14"/>
          </w:rPr>
          <w:t>neuropathy</w:t>
        </w:r>
        <w:r>
          <w:rPr>
            <w:color w:val="127EAD"/>
            <w:spacing w:val="-12"/>
            <w:sz w:val="14"/>
          </w:rPr>
          <w:t> </w:t>
        </w:r>
        <w:r>
          <w:rPr>
            <w:color w:val="127EAD"/>
            <w:sz w:val="14"/>
          </w:rPr>
          <w:t>with</w:t>
        </w:r>
        <w:r>
          <w:rPr>
            <w:color w:val="127EAD"/>
            <w:spacing w:val="-12"/>
            <w:sz w:val="14"/>
          </w:rPr>
          <w:t> </w:t>
        </w:r>
        <w:r>
          <w:rPr>
            <w:color w:val="127EAD"/>
            <w:sz w:val="14"/>
          </w:rPr>
          <w:t>immunoglobulin</w:t>
        </w:r>
        <w:r>
          <w:rPr>
            <w:color w:val="127EAD"/>
            <w:spacing w:val="-13"/>
            <w:sz w:val="14"/>
          </w:rPr>
          <w:t> </w:t>
        </w:r>
        <w:r>
          <w:rPr>
            <w:color w:val="127EAD"/>
            <w:sz w:val="14"/>
          </w:rPr>
          <w:t>therapy.</w:t>
        </w:r>
        <w:r>
          <w:rPr>
            <w:color w:val="127EAD"/>
            <w:spacing w:val="-12"/>
            <w:sz w:val="14"/>
          </w:rPr>
          <w:t> </w:t>
        </w:r>
        <w:r>
          <w:rPr>
            <w:color w:val="127EAD"/>
            <w:sz w:val="14"/>
          </w:rPr>
          <w:t>Eur</w:t>
        </w:r>
        <w:r>
          <w:rPr>
            <w:color w:val="127EAD"/>
            <w:spacing w:val="-12"/>
            <w:sz w:val="14"/>
          </w:rPr>
          <w:t> </w:t>
        </w:r>
        <w:r>
          <w:rPr>
            <w:color w:val="127EAD"/>
            <w:sz w:val="14"/>
          </w:rPr>
          <w:t>Neurol.</w:t>
        </w:r>
        <w:r>
          <w:rPr>
            <w:color w:val="127EAD"/>
            <w:spacing w:val="-12"/>
            <w:sz w:val="14"/>
          </w:rPr>
          <w:t> </w:t>
        </w:r>
        <w:r>
          <w:rPr>
            <w:color w:val="127EAD"/>
            <w:sz w:val="14"/>
          </w:rPr>
          <w:t>2018;80:304–10</w:t>
        </w:r>
      </w:hyperlink>
      <w:r>
        <w:rPr>
          <w:sz w:val="14"/>
        </w:rPr>
        <w:t>.</w:t>
      </w:r>
    </w:p>
    <w:p>
      <w:pPr>
        <w:pStyle w:val="ListParagraph"/>
        <w:numPr>
          <w:ilvl w:val="3"/>
          <w:numId w:val="3"/>
        </w:numPr>
        <w:tabs>
          <w:tab w:pos="473" w:val="left" w:leader="none"/>
        </w:tabs>
        <w:spacing w:line="247" w:lineRule="auto" w:before="0" w:after="0"/>
        <w:ind w:left="472" w:right="115" w:hanging="297"/>
        <w:jc w:val="both"/>
        <w:rPr>
          <w:sz w:val="14"/>
        </w:rPr>
      </w:pPr>
      <w:hyperlink r:id="rId97">
        <w:r>
          <w:rPr>
            <w:color w:val="127EAD"/>
            <w:sz w:val="14"/>
          </w:rPr>
          <w:t>Wells R, Hissaria P, Elliott AD, Sanders P, Page A, Baumert M, et al.</w:t>
        </w:r>
      </w:hyperlink>
      <w:r>
        <w:rPr>
          <w:color w:val="127EAD"/>
          <w:sz w:val="14"/>
        </w:rPr>
        <w:t> </w:t>
      </w:r>
      <w:hyperlink r:id="rId97">
        <w:r>
          <w:rPr>
            <w:color w:val="127EAD"/>
            <w:sz w:val="14"/>
          </w:rPr>
          <w:t>Plasma exchange therapy in postural tachycardia syndrome: a novel</w:t>
        </w:r>
      </w:hyperlink>
      <w:r>
        <w:rPr>
          <w:color w:val="127EAD"/>
          <w:sz w:val="14"/>
        </w:rPr>
        <w:t> </w:t>
      </w:r>
      <w:hyperlink r:id="rId97">
        <w:r>
          <w:rPr>
            <w:color w:val="127EAD"/>
            <w:sz w:val="14"/>
          </w:rPr>
          <w:t>long-term approach? Am J Med. </w:t>
        </w:r>
        <w:r>
          <w:rPr>
            <w:color w:val="127EAD"/>
            <w:spacing w:val="7"/>
            <w:sz w:val="14"/>
          </w:rPr>
          <w:t> </w:t>
        </w:r>
        <w:r>
          <w:rPr>
            <w:color w:val="127EAD"/>
            <w:sz w:val="14"/>
          </w:rPr>
          <w:t>2020;133:e157–9</w:t>
        </w:r>
      </w:hyperlink>
      <w:r>
        <w:rPr>
          <w:sz w:val="14"/>
        </w:rPr>
        <w:t>.</w:t>
      </w:r>
    </w:p>
    <w:p>
      <w:pPr>
        <w:pStyle w:val="ListParagraph"/>
        <w:numPr>
          <w:ilvl w:val="3"/>
          <w:numId w:val="3"/>
        </w:numPr>
        <w:tabs>
          <w:tab w:pos="473" w:val="left" w:leader="none"/>
        </w:tabs>
        <w:spacing w:line="247" w:lineRule="auto" w:before="0" w:after="0"/>
        <w:ind w:left="472" w:right="114" w:hanging="297"/>
        <w:jc w:val="both"/>
        <w:rPr>
          <w:sz w:val="14"/>
        </w:rPr>
      </w:pPr>
      <w:hyperlink r:id="rId98">
        <w:r>
          <w:rPr>
            <w:color w:val="127EAD"/>
            <w:sz w:val="14"/>
          </w:rPr>
          <w:t>Seeley MC, Hooper M, Tan J, Wells R, Gallagher C, Lau DH. Plasma</w:t>
        </w:r>
      </w:hyperlink>
      <w:r>
        <w:rPr>
          <w:color w:val="127EAD"/>
          <w:sz w:val="14"/>
        </w:rPr>
        <w:t> </w:t>
      </w:r>
      <w:hyperlink r:id="rId98">
        <w:r>
          <w:rPr>
            <w:color w:val="127EAD"/>
            <w:sz w:val="14"/>
          </w:rPr>
          <w:t>exchange improves cognitive function in long-COVID-related postural</w:t>
        </w:r>
      </w:hyperlink>
      <w:r>
        <w:rPr>
          <w:color w:val="127EAD"/>
          <w:sz w:val="14"/>
        </w:rPr>
        <w:t> </w:t>
      </w:r>
      <w:hyperlink r:id="rId98">
        <w:r>
          <w:rPr>
            <w:color w:val="127EAD"/>
            <w:sz w:val="14"/>
          </w:rPr>
          <w:t>orthostatic tachycardia syndrome and autoimmune neurological</w:t>
        </w:r>
      </w:hyperlink>
      <w:r>
        <w:rPr>
          <w:color w:val="127EAD"/>
          <w:sz w:val="14"/>
        </w:rPr>
        <w:t> </w:t>
      </w:r>
      <w:bookmarkStart w:name="_bookmark76" w:id="104"/>
      <w:bookmarkEnd w:id="104"/>
      <w:r>
        <w:rPr>
          <w:color w:val="127EAD"/>
          <w:sz w:val="14"/>
        </w:rPr>
      </w:r>
      <w:hyperlink r:id="rId98">
        <w:r>
          <w:rPr>
            <w:color w:val="127EAD"/>
            <w:sz w:val="14"/>
          </w:rPr>
          <w:t>dysfunction. Am J Med.</w:t>
        </w:r>
        <w:r>
          <w:rPr>
            <w:color w:val="127EAD"/>
            <w:spacing w:val="33"/>
            <w:sz w:val="14"/>
          </w:rPr>
          <w:t> </w:t>
        </w:r>
        <w:r>
          <w:rPr>
            <w:color w:val="127EAD"/>
            <w:sz w:val="14"/>
          </w:rPr>
          <w:t>2025;138:153–4</w:t>
        </w:r>
      </w:hyperlink>
      <w:r>
        <w:rPr>
          <w:sz w:val="14"/>
        </w:rPr>
        <w:t>.</w:t>
      </w:r>
    </w:p>
    <w:p>
      <w:pPr>
        <w:pStyle w:val="ListParagraph"/>
        <w:numPr>
          <w:ilvl w:val="3"/>
          <w:numId w:val="3"/>
        </w:numPr>
        <w:tabs>
          <w:tab w:pos="473" w:val="left" w:leader="none"/>
        </w:tabs>
        <w:spacing w:line="247" w:lineRule="auto" w:before="0" w:after="0"/>
        <w:ind w:left="472" w:right="114" w:hanging="297"/>
        <w:jc w:val="both"/>
        <w:rPr>
          <w:sz w:val="14"/>
        </w:rPr>
      </w:pPr>
      <w:hyperlink r:id="rId99">
        <w:r>
          <w:rPr>
            <w:color w:val="127EAD"/>
            <w:sz w:val="14"/>
          </w:rPr>
          <w:t>Vernino S, Hopkins S, Bryarly M, Hernandez RS, Salter A.</w:t>
        </w:r>
        <w:r>
          <w:rPr>
            <w:color w:val="127EAD"/>
            <w:spacing w:val="-14"/>
            <w:sz w:val="14"/>
          </w:rPr>
          <w:t> </w:t>
        </w:r>
        <w:r>
          <w:rPr>
            <w:color w:val="127EAD"/>
            <w:sz w:val="14"/>
          </w:rPr>
          <w:t>Randomized</w:t>
        </w:r>
      </w:hyperlink>
      <w:r>
        <w:rPr>
          <w:color w:val="127EAD"/>
          <w:sz w:val="14"/>
        </w:rPr>
        <w:t> </w:t>
      </w:r>
      <w:hyperlink r:id="rId99">
        <w:r>
          <w:rPr>
            <w:color w:val="127EAD"/>
            <w:sz w:val="14"/>
          </w:rPr>
          <w:t>controlled trial of intravenous immunoglobulin for autoimmune</w:t>
        </w:r>
      </w:hyperlink>
      <w:r>
        <w:rPr>
          <w:color w:val="127EAD"/>
          <w:sz w:val="14"/>
        </w:rPr>
        <w:t> </w:t>
      </w:r>
      <w:hyperlink r:id="rId99">
        <w:r>
          <w:rPr>
            <w:color w:val="127EAD"/>
            <w:sz w:val="14"/>
          </w:rPr>
          <w:t>postural orthostatic tachycardia syndrome (iSTAND). Clin Auton Res.</w:t>
        </w:r>
      </w:hyperlink>
      <w:r>
        <w:rPr>
          <w:color w:val="127EAD"/>
          <w:sz w:val="14"/>
        </w:rPr>
        <w:t> </w:t>
      </w:r>
      <w:bookmarkStart w:name="_bookmark77" w:id="105"/>
      <w:bookmarkEnd w:id="105"/>
      <w:r>
        <w:rPr>
          <w:color w:val="127EAD"/>
          <w:sz w:val="14"/>
        </w:rPr>
      </w:r>
      <w:hyperlink r:id="rId99">
        <w:r>
          <w:rPr>
            <w:color w:val="127EAD"/>
            <w:sz w:val="14"/>
          </w:rPr>
          <w:t>2024;34:153–63</w:t>
        </w:r>
      </w:hyperlink>
      <w:r>
        <w:rPr>
          <w:sz w:val="14"/>
        </w:rPr>
        <w:t>.</w:t>
      </w:r>
    </w:p>
    <w:p>
      <w:pPr>
        <w:pStyle w:val="ListParagraph"/>
        <w:numPr>
          <w:ilvl w:val="3"/>
          <w:numId w:val="3"/>
        </w:numPr>
        <w:tabs>
          <w:tab w:pos="473" w:val="left" w:leader="none"/>
        </w:tabs>
        <w:spacing w:line="247" w:lineRule="auto" w:before="0" w:after="0"/>
        <w:ind w:left="472" w:right="114" w:hanging="297"/>
        <w:jc w:val="both"/>
        <w:rPr>
          <w:sz w:val="14"/>
        </w:rPr>
      </w:pPr>
      <w:hyperlink r:id="rId100">
        <w:r>
          <w:rPr>
            <w:color w:val="127EAD"/>
            <w:sz w:val="14"/>
          </w:rPr>
          <w:t>Stavrakis S, Chakraborty P, Farhat K, Whyte S, Morris  L,  Abideen</w:t>
        </w:r>
      </w:hyperlink>
      <w:r>
        <w:rPr>
          <w:color w:val="127EAD"/>
          <w:sz w:val="14"/>
        </w:rPr>
        <w:t> </w:t>
      </w:r>
      <w:hyperlink r:id="rId100">
        <w:r>
          <w:rPr>
            <w:color w:val="127EAD"/>
            <w:sz w:val="14"/>
          </w:rPr>
          <w:t>Asad ZU, et al. Noninvasive vagus nerve stimulation in postural</w:t>
        </w:r>
      </w:hyperlink>
      <w:r>
        <w:rPr>
          <w:color w:val="127EAD"/>
          <w:sz w:val="14"/>
        </w:rPr>
        <w:t> </w:t>
      </w:r>
      <w:hyperlink r:id="rId100">
        <w:r>
          <w:rPr>
            <w:color w:val="127EAD"/>
            <w:sz w:val="14"/>
          </w:rPr>
          <w:t>tachycardia syndrome: a randomized clinical trial. JACC Clin Electro-</w:t>
        </w:r>
      </w:hyperlink>
      <w:r>
        <w:rPr>
          <w:color w:val="127EAD"/>
          <w:sz w:val="14"/>
        </w:rPr>
        <w:t> </w:t>
      </w:r>
      <w:bookmarkStart w:name="_bookmark78" w:id="106"/>
      <w:bookmarkEnd w:id="106"/>
      <w:r>
        <w:rPr>
          <w:color w:val="127EAD"/>
          <w:sz w:val="14"/>
        </w:rPr>
      </w:r>
      <w:hyperlink r:id="rId100">
        <w:r>
          <w:rPr>
            <w:color w:val="127EAD"/>
            <w:sz w:val="14"/>
          </w:rPr>
          <w:t>physiol.</w:t>
        </w:r>
        <w:r>
          <w:rPr>
            <w:color w:val="127EAD"/>
            <w:spacing w:val="4"/>
            <w:sz w:val="14"/>
          </w:rPr>
          <w:t> </w:t>
        </w:r>
        <w:r>
          <w:rPr>
            <w:color w:val="127EAD"/>
            <w:sz w:val="14"/>
          </w:rPr>
          <w:t>2024;10:346–55</w:t>
        </w:r>
      </w:hyperlink>
      <w:r>
        <w:rPr>
          <w:sz w:val="14"/>
        </w:rPr>
        <w:t>.</w:t>
      </w:r>
    </w:p>
    <w:p>
      <w:pPr>
        <w:pStyle w:val="ListParagraph"/>
        <w:numPr>
          <w:ilvl w:val="3"/>
          <w:numId w:val="3"/>
        </w:numPr>
        <w:tabs>
          <w:tab w:pos="473" w:val="left" w:leader="none"/>
        </w:tabs>
        <w:spacing w:line="247" w:lineRule="auto" w:before="0" w:after="0"/>
        <w:ind w:left="472" w:right="114" w:hanging="297"/>
        <w:jc w:val="both"/>
        <w:rPr>
          <w:sz w:val="14"/>
        </w:rPr>
      </w:pPr>
      <w:hyperlink r:id="rId101">
        <w:r>
          <w:rPr>
            <w:color w:val="127EAD"/>
            <w:sz w:val="14"/>
          </w:rPr>
          <w:t>Wang Z, Zhu T, Li X, Lai X, Chen M. Tragus nerve stimulation atten-</w:t>
        </w:r>
      </w:hyperlink>
      <w:r>
        <w:rPr>
          <w:color w:val="127EAD"/>
          <w:sz w:val="14"/>
        </w:rPr>
        <w:t> </w:t>
      </w:r>
      <w:hyperlink r:id="rId101">
        <w:r>
          <w:rPr>
            <w:color w:val="127EAD"/>
            <w:sz w:val="14"/>
          </w:rPr>
          <w:t>uates postural orthostatic tachycardia syndrome in post COVID-19</w:t>
        </w:r>
      </w:hyperlink>
      <w:r>
        <w:rPr>
          <w:color w:val="127EAD"/>
          <w:sz w:val="14"/>
        </w:rPr>
        <w:t> </w:t>
      </w:r>
      <w:bookmarkStart w:name="_bookmark79" w:id="107"/>
      <w:bookmarkEnd w:id="107"/>
      <w:r>
        <w:rPr>
          <w:color w:val="127EAD"/>
          <w:sz w:val="14"/>
        </w:rPr>
      </w:r>
      <w:hyperlink r:id="rId101">
        <w:r>
          <w:rPr>
            <w:color w:val="127EAD"/>
            <w:sz w:val="14"/>
          </w:rPr>
          <w:t>infection. Clin Cardiol.</w:t>
        </w:r>
        <w:r>
          <w:rPr>
            <w:color w:val="127EAD"/>
            <w:spacing w:val="23"/>
            <w:sz w:val="14"/>
          </w:rPr>
          <w:t> </w:t>
        </w:r>
        <w:r>
          <w:rPr>
            <w:color w:val="127EAD"/>
            <w:sz w:val="14"/>
          </w:rPr>
          <w:t>2025;48:e70110</w:t>
        </w:r>
      </w:hyperlink>
      <w:r>
        <w:rPr>
          <w:sz w:val="14"/>
        </w:rPr>
        <w:t>.</w:t>
      </w:r>
    </w:p>
    <w:p>
      <w:pPr>
        <w:pStyle w:val="ListParagraph"/>
        <w:numPr>
          <w:ilvl w:val="3"/>
          <w:numId w:val="3"/>
        </w:numPr>
        <w:tabs>
          <w:tab w:pos="473" w:val="left" w:leader="none"/>
        </w:tabs>
        <w:spacing w:line="247" w:lineRule="auto" w:before="0" w:after="0"/>
        <w:ind w:left="472" w:right="114" w:hanging="297"/>
        <w:jc w:val="both"/>
        <w:rPr>
          <w:sz w:val="14"/>
        </w:rPr>
      </w:pPr>
      <w:hyperlink r:id="rId102">
        <w:r>
          <w:rPr>
            <w:color w:val="127EAD"/>
            <w:sz w:val="14"/>
          </w:rPr>
          <w:t>Seeley MC, Gallagher C, Lau DH. Emerging role of autonomic modu-</w:t>
        </w:r>
      </w:hyperlink>
      <w:r>
        <w:rPr>
          <w:color w:val="127EAD"/>
          <w:sz w:val="14"/>
        </w:rPr>
        <w:t> </w:t>
      </w:r>
      <w:hyperlink r:id="rId102">
        <w:r>
          <w:rPr>
            <w:color w:val="127EAD"/>
            <w:sz w:val="14"/>
          </w:rPr>
          <w:t>lation by transcutaneous vagus nerve stimulation: electrifying hope in</w:t>
        </w:r>
      </w:hyperlink>
      <w:r>
        <w:rPr>
          <w:color w:val="127EAD"/>
          <w:sz w:val="14"/>
        </w:rPr>
        <w:t> </w:t>
      </w:r>
      <w:bookmarkStart w:name="_bookmark80" w:id="108"/>
      <w:bookmarkEnd w:id="108"/>
      <w:r>
        <w:rPr>
          <w:color w:val="127EAD"/>
          <w:sz w:val="14"/>
        </w:rPr>
      </w:r>
      <w:hyperlink r:id="rId102">
        <w:r>
          <w:rPr>
            <w:color w:val="127EAD"/>
            <w:sz w:val="14"/>
          </w:rPr>
          <w:t>POTS? JACC Clin Electrophysiol.</w:t>
        </w:r>
        <w:r>
          <w:rPr>
            <w:color w:val="127EAD"/>
            <w:spacing w:val="31"/>
            <w:sz w:val="14"/>
          </w:rPr>
          <w:t> </w:t>
        </w:r>
        <w:r>
          <w:rPr>
            <w:color w:val="127EAD"/>
            <w:sz w:val="14"/>
          </w:rPr>
          <w:t>2024;10:356–8</w:t>
        </w:r>
      </w:hyperlink>
      <w:r>
        <w:rPr>
          <w:sz w:val="14"/>
        </w:rPr>
        <w:t>.</w:t>
      </w:r>
    </w:p>
    <w:p>
      <w:pPr>
        <w:pStyle w:val="ListParagraph"/>
        <w:numPr>
          <w:ilvl w:val="3"/>
          <w:numId w:val="3"/>
        </w:numPr>
        <w:tabs>
          <w:tab w:pos="473" w:val="left" w:leader="none"/>
        </w:tabs>
        <w:spacing w:line="247" w:lineRule="auto" w:before="0" w:after="0"/>
        <w:ind w:left="472" w:right="115" w:hanging="297"/>
        <w:jc w:val="both"/>
        <w:rPr>
          <w:sz w:val="14"/>
        </w:rPr>
      </w:pPr>
      <w:hyperlink r:id="rId103">
        <w:r>
          <w:rPr>
            <w:color w:val="127EAD"/>
            <w:sz w:val="14"/>
          </w:rPr>
          <w:t>Fu</w:t>
        </w:r>
        <w:r>
          <w:rPr>
            <w:color w:val="127EAD"/>
            <w:spacing w:val="-4"/>
            <w:sz w:val="14"/>
          </w:rPr>
          <w:t> </w:t>
        </w:r>
        <w:r>
          <w:rPr>
            <w:color w:val="127EAD"/>
            <w:sz w:val="14"/>
          </w:rPr>
          <w:t>Q,</w:t>
        </w:r>
        <w:r>
          <w:rPr>
            <w:color w:val="127EAD"/>
            <w:spacing w:val="-5"/>
            <w:sz w:val="14"/>
          </w:rPr>
          <w:t> </w:t>
        </w:r>
        <w:r>
          <w:rPr>
            <w:color w:val="127EAD"/>
            <w:sz w:val="14"/>
          </w:rPr>
          <w:t>Levine</w:t>
        </w:r>
        <w:r>
          <w:rPr>
            <w:color w:val="127EAD"/>
            <w:spacing w:val="-4"/>
            <w:sz w:val="14"/>
          </w:rPr>
          <w:t> </w:t>
        </w:r>
        <w:r>
          <w:rPr>
            <w:color w:val="127EAD"/>
            <w:sz w:val="14"/>
          </w:rPr>
          <w:t>BD.</w:t>
        </w:r>
        <w:r>
          <w:rPr>
            <w:color w:val="127EAD"/>
            <w:spacing w:val="-5"/>
            <w:sz w:val="14"/>
          </w:rPr>
          <w:t> </w:t>
        </w:r>
        <w:r>
          <w:rPr>
            <w:color w:val="127EAD"/>
            <w:sz w:val="14"/>
          </w:rPr>
          <w:t>Exercise</w:t>
        </w:r>
        <w:r>
          <w:rPr>
            <w:color w:val="127EAD"/>
            <w:spacing w:val="-4"/>
            <w:sz w:val="14"/>
          </w:rPr>
          <w:t> </w:t>
        </w:r>
        <w:r>
          <w:rPr>
            <w:color w:val="127EAD"/>
            <w:sz w:val="14"/>
          </w:rPr>
          <w:t>and</w:t>
        </w:r>
        <w:r>
          <w:rPr>
            <w:color w:val="127EAD"/>
            <w:spacing w:val="-5"/>
            <w:sz w:val="14"/>
          </w:rPr>
          <w:t> </w:t>
        </w:r>
        <w:r>
          <w:rPr>
            <w:color w:val="127EAD"/>
            <w:sz w:val="14"/>
          </w:rPr>
          <w:t>non-pharmacological</w:t>
        </w:r>
        <w:r>
          <w:rPr>
            <w:color w:val="127EAD"/>
            <w:spacing w:val="-4"/>
            <w:sz w:val="14"/>
          </w:rPr>
          <w:t> </w:t>
        </w:r>
        <w:r>
          <w:rPr>
            <w:color w:val="127EAD"/>
            <w:sz w:val="14"/>
          </w:rPr>
          <w:t>treatment</w:t>
        </w:r>
        <w:r>
          <w:rPr>
            <w:color w:val="127EAD"/>
            <w:spacing w:val="-5"/>
            <w:sz w:val="14"/>
          </w:rPr>
          <w:t> </w:t>
        </w:r>
        <w:r>
          <w:rPr>
            <w:color w:val="127EAD"/>
            <w:sz w:val="14"/>
          </w:rPr>
          <w:t>of</w:t>
        </w:r>
        <w:r>
          <w:rPr>
            <w:color w:val="127EAD"/>
            <w:spacing w:val="-5"/>
            <w:sz w:val="14"/>
          </w:rPr>
          <w:t> </w:t>
        </w:r>
        <w:r>
          <w:rPr>
            <w:color w:val="127EAD"/>
            <w:sz w:val="14"/>
          </w:rPr>
          <w:t>POTS.</w:t>
        </w:r>
      </w:hyperlink>
      <w:r>
        <w:rPr>
          <w:color w:val="127EAD"/>
          <w:sz w:val="14"/>
        </w:rPr>
        <w:t> </w:t>
      </w:r>
      <w:bookmarkStart w:name="_bookmark81" w:id="109"/>
      <w:bookmarkEnd w:id="109"/>
      <w:r>
        <w:rPr>
          <w:color w:val="127EAD"/>
          <w:sz w:val="14"/>
        </w:rPr>
      </w:r>
      <w:hyperlink r:id="rId103">
        <w:r>
          <w:rPr>
            <w:color w:val="127EAD"/>
            <w:sz w:val="14"/>
          </w:rPr>
          <w:t>Auton Neurosci.</w:t>
        </w:r>
        <w:r>
          <w:rPr>
            <w:color w:val="127EAD"/>
            <w:spacing w:val="14"/>
            <w:sz w:val="14"/>
          </w:rPr>
          <w:t> </w:t>
        </w:r>
        <w:r>
          <w:rPr>
            <w:color w:val="127EAD"/>
            <w:sz w:val="14"/>
          </w:rPr>
          <w:t>2018;215:20–7</w:t>
        </w:r>
      </w:hyperlink>
      <w:r>
        <w:rPr>
          <w:sz w:val="14"/>
        </w:rPr>
        <w:t>.</w:t>
      </w:r>
    </w:p>
    <w:p>
      <w:pPr>
        <w:pStyle w:val="ListParagraph"/>
        <w:numPr>
          <w:ilvl w:val="3"/>
          <w:numId w:val="3"/>
        </w:numPr>
        <w:tabs>
          <w:tab w:pos="473" w:val="left" w:leader="none"/>
        </w:tabs>
        <w:spacing w:line="247" w:lineRule="auto" w:before="1" w:after="0"/>
        <w:ind w:left="472" w:right="114" w:hanging="297"/>
        <w:jc w:val="both"/>
        <w:rPr>
          <w:sz w:val="14"/>
        </w:rPr>
      </w:pPr>
      <w:hyperlink r:id="rId104">
        <w:r>
          <w:rPr>
            <w:color w:val="127EAD"/>
            <w:sz w:val="14"/>
          </w:rPr>
          <w:t>George SA, Bivens TB, Howden EJ, Saleem Y, Galbreath MM,</w:t>
        </w:r>
      </w:hyperlink>
      <w:r>
        <w:rPr>
          <w:color w:val="127EAD"/>
          <w:sz w:val="14"/>
        </w:rPr>
        <w:t> </w:t>
      </w:r>
      <w:hyperlink r:id="rId104">
        <w:r>
          <w:rPr>
            <w:color w:val="127EAD"/>
            <w:sz w:val="14"/>
          </w:rPr>
          <w:t>Hendrickson D, et al. The international POTS registry: evaluating the</w:t>
        </w:r>
      </w:hyperlink>
      <w:r>
        <w:rPr>
          <w:color w:val="127EAD"/>
          <w:sz w:val="14"/>
        </w:rPr>
        <w:t> </w:t>
      </w:r>
      <w:hyperlink r:id="rId104">
        <w:r>
          <w:rPr>
            <w:color w:val="127EAD"/>
            <w:sz w:val="14"/>
          </w:rPr>
          <w:t>efficacy of an exercise training intervention in a community setting.</w:t>
        </w:r>
      </w:hyperlink>
      <w:r>
        <w:rPr>
          <w:color w:val="127EAD"/>
          <w:sz w:val="14"/>
        </w:rPr>
        <w:t> </w:t>
      </w:r>
      <w:bookmarkStart w:name="_bookmark82" w:id="110"/>
      <w:bookmarkEnd w:id="110"/>
      <w:r>
        <w:rPr>
          <w:color w:val="127EAD"/>
          <w:sz w:val="14"/>
        </w:rPr>
      </w:r>
      <w:hyperlink r:id="rId104">
        <w:r>
          <w:rPr>
            <w:color w:val="127EAD"/>
            <w:sz w:val="14"/>
          </w:rPr>
          <w:t>Heart Rhythm.</w:t>
        </w:r>
        <w:r>
          <w:rPr>
            <w:color w:val="127EAD"/>
            <w:spacing w:val="14"/>
            <w:sz w:val="14"/>
          </w:rPr>
          <w:t> </w:t>
        </w:r>
        <w:r>
          <w:rPr>
            <w:color w:val="127EAD"/>
            <w:sz w:val="14"/>
          </w:rPr>
          <w:t>2016;13:943–50</w:t>
        </w:r>
      </w:hyperlink>
      <w:r>
        <w:rPr>
          <w:sz w:val="14"/>
        </w:rPr>
        <w:t>.</w:t>
      </w:r>
    </w:p>
    <w:p>
      <w:pPr>
        <w:pStyle w:val="ListParagraph"/>
        <w:numPr>
          <w:ilvl w:val="3"/>
          <w:numId w:val="3"/>
        </w:numPr>
        <w:tabs>
          <w:tab w:pos="473" w:val="left" w:leader="none"/>
        </w:tabs>
        <w:spacing w:line="247" w:lineRule="auto" w:before="0" w:after="0"/>
        <w:ind w:left="472" w:right="114" w:hanging="297"/>
        <w:jc w:val="both"/>
        <w:rPr>
          <w:sz w:val="14"/>
        </w:rPr>
      </w:pPr>
      <w:r>
        <w:rPr>
          <w:sz w:val="14"/>
        </w:rPr>
        <w:t>Putrino D, Tabacof L, Tosto-Mancuso J, Wood J, Cortes  M,  Kontorovich A, et al. Autonomic conditioning therapy reduces fatigue and improves global impression of change in individuals with post- acute COVID-19 syndrome. Research Square [Preprint]. Available at: </w:t>
      </w:r>
      <w:hyperlink r:id="rId105">
        <w:r>
          <w:rPr>
            <w:color w:val="127EAD"/>
            <w:sz w:val="14"/>
          </w:rPr>
          <w:t>https://pdfs.semanticscholar.org/a528/bb0a564674288da87fd4a95733</w:t>
        </w:r>
      </w:hyperlink>
      <w:r>
        <w:rPr>
          <w:color w:val="127EAD"/>
          <w:sz w:val="14"/>
        </w:rPr>
        <w:t> </w:t>
      </w:r>
      <w:bookmarkStart w:name="_bookmark83" w:id="111"/>
      <w:bookmarkEnd w:id="111"/>
      <w:r>
        <w:rPr>
          <w:color w:val="127EAD"/>
          <w:sz w:val="14"/>
        </w:rPr>
      </w:r>
      <w:hyperlink r:id="rId105">
        <w:r>
          <w:rPr>
            <w:color w:val="127EAD"/>
            <w:sz w:val="14"/>
          </w:rPr>
          <w:t>248f917277.pdf</w:t>
        </w:r>
      </w:hyperlink>
      <w:r>
        <w:rPr>
          <w:sz w:val="14"/>
        </w:rPr>
        <w:t>. [accessed</w:t>
      </w:r>
      <w:r>
        <w:rPr>
          <w:spacing w:val="13"/>
          <w:sz w:val="14"/>
        </w:rPr>
        <w:t> </w:t>
      </w:r>
      <w:r>
        <w:rPr>
          <w:sz w:val="14"/>
        </w:rPr>
        <w:t>2.1.26].</w:t>
      </w:r>
    </w:p>
    <w:p>
      <w:pPr>
        <w:pStyle w:val="ListParagraph"/>
        <w:numPr>
          <w:ilvl w:val="3"/>
          <w:numId w:val="3"/>
        </w:numPr>
        <w:tabs>
          <w:tab w:pos="473" w:val="left" w:leader="none"/>
        </w:tabs>
        <w:spacing w:line="247" w:lineRule="auto" w:before="0" w:after="0"/>
        <w:ind w:left="472" w:right="114" w:hanging="297"/>
        <w:jc w:val="both"/>
        <w:rPr>
          <w:sz w:val="14"/>
        </w:rPr>
      </w:pPr>
      <w:hyperlink r:id="rId106">
        <w:r>
          <w:rPr>
            <w:color w:val="127EAD"/>
            <w:sz w:val="14"/>
          </w:rPr>
          <w:t>Ziaks L, Johnson K, Schiltz K, Pelo R, Lamotte G, Dal Molin C, et al.</w:t>
        </w:r>
      </w:hyperlink>
      <w:r>
        <w:rPr>
          <w:color w:val="127EAD"/>
          <w:sz w:val="14"/>
        </w:rPr>
        <w:t> </w:t>
      </w:r>
      <w:hyperlink r:id="rId106">
        <w:r>
          <w:rPr>
            <w:color w:val="127EAD"/>
            <w:sz w:val="14"/>
          </w:rPr>
          <w:t>Adaptive approaches to exercise rehabilitation for postural tachycardia</w:t>
        </w:r>
      </w:hyperlink>
      <w:r>
        <w:rPr>
          <w:color w:val="127EAD"/>
          <w:sz w:val="14"/>
        </w:rPr>
        <w:t> </w:t>
      </w:r>
      <w:hyperlink r:id="rId106">
        <w:r>
          <w:rPr>
            <w:color w:val="127EAD"/>
            <w:sz w:val="14"/>
          </w:rPr>
          <w:t>syndrome and related autonomic disorders. Arch Rehabil Res Clin</w:t>
        </w:r>
      </w:hyperlink>
      <w:r>
        <w:rPr>
          <w:color w:val="127EAD"/>
          <w:sz w:val="14"/>
        </w:rPr>
        <w:t> </w:t>
      </w:r>
      <w:bookmarkStart w:name="_bookmark84" w:id="112"/>
      <w:bookmarkEnd w:id="112"/>
      <w:r>
        <w:rPr>
          <w:color w:val="127EAD"/>
          <w:sz w:val="14"/>
        </w:rPr>
      </w:r>
      <w:hyperlink r:id="rId106">
        <w:r>
          <w:rPr>
            <w:color w:val="127EAD"/>
            <w:sz w:val="14"/>
          </w:rPr>
          <w:t>Transl.</w:t>
        </w:r>
        <w:r>
          <w:rPr>
            <w:color w:val="127EAD"/>
            <w:spacing w:val="5"/>
            <w:sz w:val="14"/>
          </w:rPr>
          <w:t> </w:t>
        </w:r>
        <w:r>
          <w:rPr>
            <w:color w:val="127EAD"/>
            <w:sz w:val="14"/>
          </w:rPr>
          <w:t>2024;6:100366</w:t>
        </w:r>
      </w:hyperlink>
      <w:r>
        <w:rPr>
          <w:sz w:val="14"/>
        </w:rPr>
        <w:t>.</w:t>
      </w:r>
    </w:p>
    <w:p>
      <w:pPr>
        <w:pStyle w:val="ListParagraph"/>
        <w:numPr>
          <w:ilvl w:val="3"/>
          <w:numId w:val="3"/>
        </w:numPr>
        <w:tabs>
          <w:tab w:pos="473" w:val="left" w:leader="none"/>
        </w:tabs>
        <w:spacing w:line="247" w:lineRule="auto" w:before="0" w:after="0"/>
        <w:ind w:left="472" w:right="114" w:hanging="297"/>
        <w:jc w:val="both"/>
        <w:rPr>
          <w:sz w:val="14"/>
        </w:rPr>
      </w:pPr>
      <w:hyperlink r:id="rId107">
        <w:r>
          <w:rPr>
            <w:color w:val="127EAD"/>
            <w:sz w:val="14"/>
          </w:rPr>
          <w:t>Wheatley-Guy CM, Shea MG, Parks JK, Scales R, Goodman BP,</w:t>
        </w:r>
      </w:hyperlink>
      <w:r>
        <w:rPr>
          <w:color w:val="127EAD"/>
          <w:sz w:val="14"/>
        </w:rPr>
        <w:t> </w:t>
      </w:r>
      <w:hyperlink r:id="rId107">
        <w:r>
          <w:rPr>
            <w:color w:val="127EAD"/>
            <w:sz w:val="14"/>
          </w:rPr>
          <w:t>Butterfield RJ, et al. Semi-supervised exercise training program more</w:t>
        </w:r>
      </w:hyperlink>
      <w:r>
        <w:rPr>
          <w:color w:val="127EAD"/>
          <w:sz w:val="14"/>
        </w:rPr>
        <w:t> </w:t>
      </w:r>
      <w:hyperlink r:id="rId107">
        <w:r>
          <w:rPr>
            <w:color w:val="127EAD"/>
            <w:sz w:val="14"/>
          </w:rPr>
          <w:t>effective for individuals with postural orthostatic tachycardia syn-</w:t>
        </w:r>
      </w:hyperlink>
      <w:r>
        <w:rPr>
          <w:color w:val="127EAD"/>
          <w:sz w:val="14"/>
        </w:rPr>
        <w:t> </w:t>
      </w:r>
      <w:bookmarkStart w:name="_bookmark85" w:id="113"/>
      <w:bookmarkEnd w:id="113"/>
      <w:r>
        <w:rPr>
          <w:color w:val="127EAD"/>
          <w:sz w:val="14"/>
        </w:rPr>
      </w:r>
      <w:hyperlink r:id="rId107">
        <w:r>
          <w:rPr>
            <w:color w:val="127EAD"/>
            <w:sz w:val="14"/>
          </w:rPr>
          <w:t>drome in randomized controlled trial. Clin Auton Res. </w:t>
        </w:r>
        <w:r>
          <w:rPr>
            <w:color w:val="127EAD"/>
            <w:spacing w:val="32"/>
            <w:sz w:val="14"/>
          </w:rPr>
          <w:t> </w:t>
        </w:r>
        <w:r>
          <w:rPr>
            <w:color w:val="127EAD"/>
            <w:sz w:val="14"/>
          </w:rPr>
          <w:t>2023;33:659–72</w:t>
        </w:r>
      </w:hyperlink>
      <w:r>
        <w:rPr>
          <w:sz w:val="14"/>
        </w:rPr>
        <w:t>.</w:t>
      </w:r>
    </w:p>
    <w:p>
      <w:pPr>
        <w:pStyle w:val="ListParagraph"/>
        <w:numPr>
          <w:ilvl w:val="3"/>
          <w:numId w:val="3"/>
        </w:numPr>
        <w:tabs>
          <w:tab w:pos="473" w:val="left" w:leader="none"/>
        </w:tabs>
        <w:spacing w:line="247" w:lineRule="auto" w:before="0" w:after="0"/>
        <w:ind w:left="472" w:right="114" w:hanging="297"/>
        <w:jc w:val="both"/>
        <w:rPr>
          <w:sz w:val="14"/>
        </w:rPr>
      </w:pPr>
      <w:hyperlink r:id="rId108">
        <w:r>
          <w:rPr>
            <w:color w:val="127EAD"/>
            <w:sz w:val="14"/>
          </w:rPr>
          <w:t>Gibbons CH, Silva G, Freeman R. Cardiovascular exercise as a treat-</w:t>
        </w:r>
      </w:hyperlink>
      <w:r>
        <w:rPr>
          <w:color w:val="127EAD"/>
          <w:sz w:val="14"/>
        </w:rPr>
        <w:t> </w:t>
      </w:r>
      <w:hyperlink r:id="rId108">
        <w:r>
          <w:rPr>
            <w:color w:val="127EAD"/>
            <w:sz w:val="14"/>
          </w:rPr>
          <w:t>ment of postural orthostatic tachycardia syndrome: a pragmatic treat-</w:t>
        </w:r>
      </w:hyperlink>
      <w:r>
        <w:rPr>
          <w:color w:val="127EAD"/>
          <w:sz w:val="14"/>
        </w:rPr>
        <w:t> </w:t>
      </w:r>
      <w:bookmarkStart w:name="_bookmark86" w:id="114"/>
      <w:bookmarkEnd w:id="114"/>
      <w:r>
        <w:rPr>
          <w:color w:val="127EAD"/>
          <w:sz w:val="14"/>
        </w:rPr>
      </w:r>
      <w:hyperlink r:id="rId108">
        <w:r>
          <w:rPr>
            <w:color w:val="127EAD"/>
            <w:sz w:val="14"/>
          </w:rPr>
          <w:t>ment trial. Heart Rhythm.</w:t>
        </w:r>
        <w:r>
          <w:rPr>
            <w:color w:val="127EAD"/>
            <w:spacing w:val="32"/>
            <w:sz w:val="14"/>
          </w:rPr>
          <w:t> </w:t>
        </w:r>
        <w:r>
          <w:rPr>
            <w:color w:val="127EAD"/>
            <w:sz w:val="14"/>
          </w:rPr>
          <w:t>2021;18:1361–8</w:t>
        </w:r>
      </w:hyperlink>
      <w:r>
        <w:rPr>
          <w:sz w:val="14"/>
        </w:rPr>
        <w:t>.</w:t>
      </w:r>
    </w:p>
    <w:p>
      <w:pPr>
        <w:pStyle w:val="ListParagraph"/>
        <w:numPr>
          <w:ilvl w:val="3"/>
          <w:numId w:val="3"/>
        </w:numPr>
        <w:tabs>
          <w:tab w:pos="473" w:val="left" w:leader="none"/>
        </w:tabs>
        <w:spacing w:line="247" w:lineRule="auto" w:before="0" w:after="0"/>
        <w:ind w:left="472" w:right="115" w:hanging="297"/>
        <w:jc w:val="both"/>
        <w:rPr>
          <w:sz w:val="14"/>
        </w:rPr>
      </w:pPr>
      <w:hyperlink r:id="rId109">
        <w:r>
          <w:rPr>
            <w:color w:val="127EAD"/>
            <w:sz w:val="14"/>
          </w:rPr>
          <w:t>Raj SR. Row, row, row your way to treating postural tachycardia syn-</w:t>
        </w:r>
      </w:hyperlink>
      <w:r>
        <w:rPr>
          <w:color w:val="127EAD"/>
          <w:sz w:val="14"/>
        </w:rPr>
        <w:t> </w:t>
      </w:r>
      <w:bookmarkStart w:name="_bookmark87" w:id="115"/>
      <w:bookmarkEnd w:id="115"/>
      <w:r>
        <w:rPr>
          <w:color w:val="127EAD"/>
          <w:sz w:val="14"/>
        </w:rPr>
      </w:r>
      <w:hyperlink r:id="rId109">
        <w:r>
          <w:rPr>
            <w:color w:val="127EAD"/>
            <w:sz w:val="14"/>
          </w:rPr>
          <w:t>drome. Heart Rhythm.</w:t>
        </w:r>
        <w:r>
          <w:rPr>
            <w:color w:val="127EAD"/>
            <w:spacing w:val="23"/>
            <w:sz w:val="14"/>
          </w:rPr>
          <w:t> </w:t>
        </w:r>
        <w:r>
          <w:rPr>
            <w:color w:val="127EAD"/>
            <w:sz w:val="14"/>
          </w:rPr>
          <w:t>2016;13:951–2</w:t>
        </w:r>
      </w:hyperlink>
      <w:r>
        <w:rPr>
          <w:sz w:val="14"/>
        </w:rPr>
        <w:t>.</w:t>
      </w:r>
    </w:p>
    <w:p>
      <w:pPr>
        <w:pStyle w:val="ListParagraph"/>
        <w:numPr>
          <w:ilvl w:val="3"/>
          <w:numId w:val="3"/>
        </w:numPr>
        <w:tabs>
          <w:tab w:pos="473" w:val="left" w:leader="none"/>
        </w:tabs>
        <w:spacing w:line="247" w:lineRule="auto" w:before="0" w:after="0"/>
        <w:ind w:left="472" w:right="114" w:hanging="297"/>
        <w:jc w:val="both"/>
        <w:rPr>
          <w:sz w:val="14"/>
        </w:rPr>
      </w:pPr>
      <w:hyperlink r:id="rId110">
        <w:r>
          <w:rPr>
            <w:color w:val="127EAD"/>
            <w:sz w:val="14"/>
          </w:rPr>
          <w:t>Powers CD, Miranda NA, Te D. Physical therapy management of</w:t>
        </w:r>
      </w:hyperlink>
      <w:r>
        <w:rPr>
          <w:color w:val="127EAD"/>
          <w:sz w:val="14"/>
        </w:rPr>
        <w:t> </w:t>
      </w:r>
      <w:hyperlink r:id="rId110">
        <w:r>
          <w:rPr>
            <w:color w:val="127EAD"/>
            <w:sz w:val="14"/>
          </w:rPr>
          <w:t>postural orthostatic tachycardia syndrome using a pacing-forward</w:t>
        </w:r>
      </w:hyperlink>
      <w:r>
        <w:rPr>
          <w:color w:val="127EAD"/>
          <w:sz w:val="14"/>
        </w:rPr>
        <w:t> </w:t>
      </w:r>
      <w:hyperlink r:id="rId110">
        <w:r>
          <w:rPr>
            <w:color w:val="127EAD"/>
            <w:sz w:val="14"/>
          </w:rPr>
          <w:t>clinical approach: a case report. Internet J Allied Health Sci Pract.</w:t>
        </w:r>
      </w:hyperlink>
      <w:r>
        <w:rPr>
          <w:color w:val="127EAD"/>
          <w:sz w:val="14"/>
        </w:rPr>
        <w:t> </w:t>
      </w:r>
      <w:bookmarkStart w:name="_bookmark88" w:id="116"/>
      <w:bookmarkEnd w:id="116"/>
      <w:r>
        <w:rPr>
          <w:color w:val="127EAD"/>
          <w:sz w:val="14"/>
        </w:rPr>
      </w:r>
      <w:hyperlink r:id="rId110">
        <w:r>
          <w:rPr>
            <w:color w:val="127EAD"/>
            <w:sz w:val="14"/>
          </w:rPr>
          <w:t>2025;23:29</w:t>
        </w:r>
      </w:hyperlink>
      <w:r>
        <w:rPr>
          <w:sz w:val="14"/>
        </w:rPr>
        <w:t>.</w:t>
      </w:r>
    </w:p>
    <w:p>
      <w:pPr>
        <w:pStyle w:val="ListParagraph"/>
        <w:numPr>
          <w:ilvl w:val="3"/>
          <w:numId w:val="3"/>
        </w:numPr>
        <w:tabs>
          <w:tab w:pos="473" w:val="left" w:leader="none"/>
        </w:tabs>
        <w:spacing w:line="247" w:lineRule="auto" w:before="0" w:after="0"/>
        <w:ind w:left="472" w:right="114" w:hanging="297"/>
        <w:jc w:val="both"/>
        <w:rPr>
          <w:sz w:val="14"/>
        </w:rPr>
      </w:pPr>
      <w:hyperlink r:id="rId111">
        <w:r>
          <w:rPr>
            <w:color w:val="127EAD"/>
            <w:sz w:val="14"/>
          </w:rPr>
          <w:t>Trimble KZ, Switzer JN, Blitshteyn S. Exercise in postural orthostatic</w:t>
        </w:r>
      </w:hyperlink>
      <w:r>
        <w:rPr>
          <w:color w:val="127EAD"/>
          <w:sz w:val="14"/>
        </w:rPr>
        <w:t> </w:t>
      </w:r>
      <w:hyperlink r:id="rId111">
        <w:r>
          <w:rPr>
            <w:color w:val="127EAD"/>
            <w:sz w:val="14"/>
          </w:rPr>
          <w:t>tachycardia  syndrome:  focus  on  individualized  exercise   approach.</w:t>
        </w:r>
      </w:hyperlink>
      <w:r>
        <w:rPr>
          <w:color w:val="127EAD"/>
          <w:sz w:val="14"/>
        </w:rPr>
        <w:t> </w:t>
      </w:r>
      <w:bookmarkStart w:name="_bookmark89" w:id="117"/>
      <w:bookmarkEnd w:id="117"/>
      <w:r>
        <w:rPr>
          <w:color w:val="127EAD"/>
          <w:sz w:val="14"/>
        </w:rPr>
      </w:r>
      <w:hyperlink r:id="rId111">
        <w:r>
          <w:rPr>
            <w:color w:val="127EAD"/>
            <w:sz w:val="14"/>
          </w:rPr>
          <w:t>J Clin Med.</w:t>
        </w:r>
        <w:r>
          <w:rPr>
            <w:color w:val="127EAD"/>
            <w:spacing w:val="26"/>
            <w:sz w:val="14"/>
          </w:rPr>
          <w:t> </w:t>
        </w:r>
        <w:r>
          <w:rPr>
            <w:color w:val="127EAD"/>
            <w:sz w:val="14"/>
          </w:rPr>
          <w:t>2024;13:6747</w:t>
        </w:r>
      </w:hyperlink>
      <w:r>
        <w:rPr>
          <w:sz w:val="14"/>
        </w:rPr>
        <w:t>.</w:t>
      </w:r>
    </w:p>
    <w:p>
      <w:pPr>
        <w:pStyle w:val="ListParagraph"/>
        <w:numPr>
          <w:ilvl w:val="3"/>
          <w:numId w:val="3"/>
        </w:numPr>
        <w:tabs>
          <w:tab w:pos="473" w:val="left" w:leader="none"/>
        </w:tabs>
        <w:spacing w:line="247" w:lineRule="auto" w:before="0" w:after="0"/>
        <w:ind w:left="472" w:right="114" w:hanging="297"/>
        <w:jc w:val="both"/>
        <w:rPr>
          <w:sz w:val="14"/>
        </w:rPr>
      </w:pPr>
      <w:hyperlink r:id="rId112">
        <w:r>
          <w:rPr>
            <w:color w:val="127EAD"/>
            <w:sz w:val="14"/>
          </w:rPr>
          <w:t>Thieben MJ, Sandroni P, Sletten DM, Benrud-Larson LM, Fealey RD,</w:t>
        </w:r>
      </w:hyperlink>
      <w:r>
        <w:rPr>
          <w:color w:val="127EAD"/>
          <w:sz w:val="14"/>
        </w:rPr>
        <w:t> </w:t>
      </w:r>
      <w:hyperlink r:id="rId112">
        <w:r>
          <w:rPr>
            <w:color w:val="127EAD"/>
            <w:sz w:val="14"/>
          </w:rPr>
          <w:t>Vernino S, et al. Postural orthostatic tachycardia syndrome: the Mayo</w:t>
        </w:r>
      </w:hyperlink>
      <w:r>
        <w:rPr>
          <w:color w:val="127EAD"/>
          <w:sz w:val="14"/>
        </w:rPr>
        <w:t> </w:t>
      </w:r>
      <w:bookmarkStart w:name="_bookmark90" w:id="118"/>
      <w:bookmarkEnd w:id="118"/>
      <w:r>
        <w:rPr>
          <w:color w:val="127EAD"/>
          <w:sz w:val="14"/>
        </w:rPr>
      </w:r>
      <w:hyperlink r:id="rId112">
        <w:r>
          <w:rPr>
            <w:color w:val="127EAD"/>
            <w:sz w:val="14"/>
          </w:rPr>
          <w:t>clinic experience. Mayo Clin Proc. </w:t>
        </w:r>
        <w:r>
          <w:rPr>
            <w:color w:val="127EAD"/>
            <w:spacing w:val="9"/>
            <w:sz w:val="14"/>
          </w:rPr>
          <w:t> </w:t>
        </w:r>
        <w:r>
          <w:rPr>
            <w:color w:val="127EAD"/>
            <w:sz w:val="14"/>
          </w:rPr>
          <w:t>2007;82:308–13</w:t>
        </w:r>
      </w:hyperlink>
      <w:r>
        <w:rPr>
          <w:sz w:val="14"/>
        </w:rPr>
        <w:t>.</w:t>
      </w:r>
    </w:p>
    <w:p>
      <w:pPr>
        <w:pStyle w:val="ListParagraph"/>
        <w:numPr>
          <w:ilvl w:val="3"/>
          <w:numId w:val="3"/>
        </w:numPr>
        <w:tabs>
          <w:tab w:pos="473" w:val="left" w:leader="none"/>
        </w:tabs>
        <w:spacing w:line="247" w:lineRule="auto" w:before="0" w:after="0"/>
        <w:ind w:left="472" w:right="114" w:hanging="297"/>
        <w:jc w:val="both"/>
        <w:rPr>
          <w:sz w:val="14"/>
        </w:rPr>
      </w:pPr>
      <w:hyperlink r:id="rId113">
        <w:r>
          <w:rPr>
            <w:color w:val="127EAD"/>
            <w:sz w:val="14"/>
          </w:rPr>
          <w:t>Peltier AC, Garland E, Raj SR, Sato K, Black B, Song Y, et al. Distal</w:t>
        </w:r>
      </w:hyperlink>
      <w:r>
        <w:rPr>
          <w:color w:val="127EAD"/>
          <w:sz w:val="14"/>
        </w:rPr>
        <w:t> </w:t>
      </w:r>
      <w:hyperlink r:id="rId113">
        <w:r>
          <w:rPr>
            <w:color w:val="127EAD"/>
            <w:sz w:val="14"/>
          </w:rPr>
          <w:t>sudomotor findings in postural tachycardia syndrome. Clin Auton Res.</w:t>
        </w:r>
      </w:hyperlink>
      <w:r>
        <w:rPr>
          <w:color w:val="127EAD"/>
          <w:sz w:val="14"/>
        </w:rPr>
        <w:t> </w:t>
      </w:r>
      <w:bookmarkStart w:name="_bookmark91" w:id="119"/>
      <w:bookmarkEnd w:id="119"/>
      <w:r>
        <w:rPr>
          <w:color w:val="127EAD"/>
          <w:sz w:val="14"/>
        </w:rPr>
      </w:r>
      <w:hyperlink r:id="rId113">
        <w:r>
          <w:rPr>
            <w:color w:val="127EAD"/>
            <w:sz w:val="14"/>
          </w:rPr>
          <w:t>2010;20:93–9</w:t>
        </w:r>
      </w:hyperlink>
      <w:r>
        <w:rPr>
          <w:sz w:val="14"/>
        </w:rPr>
        <w:t>.</w:t>
      </w:r>
    </w:p>
    <w:p>
      <w:pPr>
        <w:pStyle w:val="ListParagraph"/>
        <w:numPr>
          <w:ilvl w:val="3"/>
          <w:numId w:val="3"/>
        </w:numPr>
        <w:tabs>
          <w:tab w:pos="473" w:val="left" w:leader="none"/>
        </w:tabs>
        <w:spacing w:line="247" w:lineRule="auto" w:before="0" w:after="0"/>
        <w:ind w:left="472" w:right="114" w:hanging="297"/>
        <w:jc w:val="both"/>
        <w:rPr>
          <w:sz w:val="14"/>
        </w:rPr>
      </w:pPr>
      <w:hyperlink r:id="rId114">
        <w:r>
          <w:rPr>
            <w:color w:val="127EAD"/>
            <w:sz w:val="14"/>
          </w:rPr>
          <w:t>Blitshteyn S. Autoimmune markers and autoimmune disorders in pa-</w:t>
        </w:r>
      </w:hyperlink>
      <w:r>
        <w:rPr>
          <w:color w:val="127EAD"/>
          <w:sz w:val="14"/>
        </w:rPr>
        <w:t> </w:t>
      </w:r>
      <w:hyperlink r:id="rId114">
        <w:r>
          <w:rPr>
            <w:color w:val="127EAD"/>
            <w:sz w:val="14"/>
          </w:rPr>
          <w:t>tients with postural tachycardia syndrome (POTS). Lupus.</w:t>
        </w:r>
      </w:hyperlink>
      <w:r>
        <w:rPr>
          <w:color w:val="127EAD"/>
          <w:sz w:val="14"/>
        </w:rPr>
        <w:t> </w:t>
      </w:r>
      <w:bookmarkStart w:name="_bookmark92" w:id="120"/>
      <w:bookmarkEnd w:id="120"/>
      <w:r>
        <w:rPr>
          <w:color w:val="127EAD"/>
          <w:sz w:val="14"/>
        </w:rPr>
      </w:r>
      <w:hyperlink r:id="rId114">
        <w:r>
          <w:rPr>
            <w:color w:val="127EAD"/>
            <w:sz w:val="14"/>
          </w:rPr>
          <w:t>2015;24:1364–9</w:t>
        </w:r>
      </w:hyperlink>
      <w:r>
        <w:rPr>
          <w:sz w:val="14"/>
        </w:rPr>
        <w:t>.</w:t>
      </w:r>
    </w:p>
    <w:p>
      <w:pPr>
        <w:pStyle w:val="ListParagraph"/>
        <w:numPr>
          <w:ilvl w:val="3"/>
          <w:numId w:val="3"/>
        </w:numPr>
        <w:tabs>
          <w:tab w:pos="473" w:val="left" w:leader="none"/>
        </w:tabs>
        <w:spacing w:line="247" w:lineRule="auto" w:before="1" w:after="0"/>
        <w:ind w:left="472" w:right="115" w:hanging="297"/>
        <w:jc w:val="both"/>
        <w:rPr>
          <w:sz w:val="14"/>
        </w:rPr>
      </w:pPr>
      <w:hyperlink r:id="rId115">
        <w:r>
          <w:rPr>
            <w:color w:val="127EAD"/>
            <w:sz w:val="14"/>
          </w:rPr>
          <w:t>Gemignani F, Bellanova MF, Saccani E, Pavesi G. Non-length-depen-</w:t>
        </w:r>
      </w:hyperlink>
      <w:r>
        <w:rPr>
          <w:color w:val="127EAD"/>
          <w:sz w:val="14"/>
        </w:rPr>
        <w:t> </w:t>
      </w:r>
      <w:hyperlink r:id="rId115">
        <w:r>
          <w:rPr>
            <w:color w:val="127EAD"/>
            <w:sz w:val="14"/>
          </w:rPr>
          <w:t>dent small fiber neuropathy: not a matter of stockings and gloves.</w:t>
        </w:r>
      </w:hyperlink>
      <w:r>
        <w:rPr>
          <w:color w:val="127EAD"/>
          <w:sz w:val="14"/>
        </w:rPr>
        <w:t> </w:t>
      </w:r>
      <w:bookmarkStart w:name="_bookmark93" w:id="121"/>
      <w:bookmarkEnd w:id="121"/>
      <w:r>
        <w:rPr>
          <w:color w:val="127EAD"/>
          <w:sz w:val="14"/>
        </w:rPr>
      </w:r>
      <w:hyperlink r:id="rId115">
        <w:r>
          <w:rPr>
            <w:color w:val="127EAD"/>
            <w:sz w:val="14"/>
          </w:rPr>
          <w:t>Muscle Nerve.</w:t>
        </w:r>
        <w:r>
          <w:rPr>
            <w:color w:val="127EAD"/>
            <w:spacing w:val="14"/>
            <w:sz w:val="14"/>
          </w:rPr>
          <w:t> </w:t>
        </w:r>
        <w:r>
          <w:rPr>
            <w:color w:val="127EAD"/>
            <w:sz w:val="14"/>
          </w:rPr>
          <w:t>2022;65:10–28</w:t>
        </w:r>
      </w:hyperlink>
      <w:r>
        <w:rPr>
          <w:sz w:val="14"/>
        </w:rPr>
        <w:t>.</w:t>
      </w:r>
    </w:p>
    <w:p>
      <w:pPr>
        <w:pStyle w:val="ListParagraph"/>
        <w:numPr>
          <w:ilvl w:val="3"/>
          <w:numId w:val="3"/>
        </w:numPr>
        <w:tabs>
          <w:tab w:pos="473" w:val="left" w:leader="none"/>
        </w:tabs>
        <w:spacing w:line="247" w:lineRule="auto" w:before="0" w:after="0"/>
        <w:ind w:left="472" w:right="114" w:hanging="297"/>
        <w:jc w:val="both"/>
        <w:rPr>
          <w:sz w:val="14"/>
        </w:rPr>
      </w:pPr>
      <w:hyperlink r:id="rId116">
        <w:r>
          <w:rPr>
            <w:color w:val="127EAD"/>
            <w:sz w:val="14"/>
          </w:rPr>
          <w:t>Blitshteyn S. Vitamin B1 deficiency in patients with postural tachy-</w:t>
        </w:r>
      </w:hyperlink>
      <w:r>
        <w:rPr>
          <w:color w:val="127EAD"/>
          <w:sz w:val="14"/>
        </w:rPr>
        <w:t> </w:t>
      </w:r>
      <w:bookmarkStart w:name="_bookmark94" w:id="122"/>
      <w:bookmarkEnd w:id="122"/>
      <w:r>
        <w:rPr>
          <w:color w:val="127EAD"/>
          <w:sz w:val="14"/>
        </w:rPr>
      </w:r>
      <w:hyperlink r:id="rId116">
        <w:r>
          <w:rPr>
            <w:color w:val="127EAD"/>
            <w:sz w:val="14"/>
          </w:rPr>
          <w:t>cardia syndrome (POTS). Neurol Res. </w:t>
        </w:r>
        <w:r>
          <w:rPr>
            <w:color w:val="127EAD"/>
            <w:spacing w:val="5"/>
            <w:sz w:val="14"/>
          </w:rPr>
          <w:t> </w:t>
        </w:r>
        <w:r>
          <w:rPr>
            <w:color w:val="127EAD"/>
            <w:sz w:val="14"/>
          </w:rPr>
          <w:t>2017;39:685–8</w:t>
        </w:r>
      </w:hyperlink>
      <w:r>
        <w:rPr>
          <w:sz w:val="14"/>
        </w:rPr>
        <w:t>.</w:t>
      </w:r>
    </w:p>
    <w:p>
      <w:pPr>
        <w:pStyle w:val="ListParagraph"/>
        <w:numPr>
          <w:ilvl w:val="3"/>
          <w:numId w:val="3"/>
        </w:numPr>
        <w:tabs>
          <w:tab w:pos="473" w:val="left" w:leader="none"/>
        </w:tabs>
        <w:spacing w:line="247" w:lineRule="auto" w:before="0" w:after="0"/>
        <w:ind w:left="472" w:right="114" w:hanging="297"/>
        <w:jc w:val="both"/>
        <w:rPr>
          <w:sz w:val="14"/>
        </w:rPr>
      </w:pPr>
      <w:hyperlink r:id="rId117">
        <w:r>
          <w:rPr>
            <w:color w:val="127EAD"/>
            <w:sz w:val="14"/>
          </w:rPr>
          <w:t>Li J, Zhang Q, Liao Y, Zhang C, Hao H, Du J. The value of</w:t>
        </w:r>
        <w:r>
          <w:rPr>
            <w:color w:val="127EAD"/>
            <w:spacing w:val="-13"/>
            <w:sz w:val="14"/>
          </w:rPr>
          <w:t> </w:t>
        </w:r>
        <w:r>
          <w:rPr>
            <w:color w:val="127EAD"/>
            <w:sz w:val="14"/>
          </w:rPr>
          <w:t>acetylcholine</w:t>
        </w:r>
      </w:hyperlink>
      <w:r>
        <w:rPr>
          <w:color w:val="127EAD"/>
          <w:sz w:val="14"/>
        </w:rPr>
        <w:t> </w:t>
      </w:r>
      <w:hyperlink r:id="rId117">
        <w:r>
          <w:rPr>
            <w:color w:val="127EAD"/>
            <w:sz w:val="14"/>
          </w:rPr>
          <w:t>receptor antibody in children with postural tachycardia syndrome.</w:t>
        </w:r>
      </w:hyperlink>
      <w:r>
        <w:rPr>
          <w:color w:val="127EAD"/>
          <w:sz w:val="14"/>
        </w:rPr>
        <w:t> </w:t>
      </w:r>
      <w:bookmarkStart w:name="_bookmark95" w:id="123"/>
      <w:bookmarkEnd w:id="123"/>
      <w:r>
        <w:rPr>
          <w:color w:val="127EAD"/>
          <w:sz w:val="14"/>
        </w:rPr>
      </w:r>
      <w:hyperlink r:id="rId117">
        <w:r>
          <w:rPr>
            <w:color w:val="127EAD"/>
            <w:sz w:val="14"/>
          </w:rPr>
          <w:t>Pediatr Cardiol.</w:t>
        </w:r>
        <w:r>
          <w:rPr>
            <w:color w:val="127EAD"/>
            <w:spacing w:val="14"/>
            <w:sz w:val="14"/>
          </w:rPr>
          <w:t> </w:t>
        </w:r>
        <w:r>
          <w:rPr>
            <w:color w:val="127EAD"/>
            <w:sz w:val="14"/>
          </w:rPr>
          <w:t>2015;36:165–70</w:t>
        </w:r>
      </w:hyperlink>
      <w:r>
        <w:rPr>
          <w:sz w:val="14"/>
        </w:rPr>
        <w:t>.</w:t>
      </w:r>
    </w:p>
    <w:p>
      <w:pPr>
        <w:pStyle w:val="ListParagraph"/>
        <w:numPr>
          <w:ilvl w:val="3"/>
          <w:numId w:val="3"/>
        </w:numPr>
        <w:tabs>
          <w:tab w:pos="473" w:val="left" w:leader="none"/>
        </w:tabs>
        <w:spacing w:line="247" w:lineRule="auto" w:before="0" w:after="0"/>
        <w:ind w:left="472" w:right="114" w:hanging="297"/>
        <w:jc w:val="both"/>
        <w:rPr>
          <w:sz w:val="14"/>
        </w:rPr>
      </w:pPr>
      <w:hyperlink r:id="rId118">
        <w:r>
          <w:rPr>
            <w:color w:val="127EAD"/>
            <w:sz w:val="14"/>
          </w:rPr>
          <w:t>Watari M, Nakane S, Mukaino A, Nakajima M, Mori Y, Maeda Y, et al.</w:t>
        </w:r>
      </w:hyperlink>
      <w:r>
        <w:rPr>
          <w:color w:val="127EAD"/>
          <w:sz w:val="14"/>
        </w:rPr>
        <w:t> </w:t>
      </w:r>
      <w:hyperlink r:id="rId118">
        <w:r>
          <w:rPr>
            <w:color w:val="127EAD"/>
            <w:sz w:val="14"/>
          </w:rPr>
          <w:t>Autoimmune postural orthostatic tachycardia syndrome. Ann Clin</w:t>
        </w:r>
      </w:hyperlink>
      <w:r>
        <w:rPr>
          <w:color w:val="127EAD"/>
          <w:sz w:val="14"/>
        </w:rPr>
        <w:t> </w:t>
      </w:r>
      <w:hyperlink r:id="rId118">
        <w:r>
          <w:rPr>
            <w:color w:val="127EAD"/>
            <w:sz w:val="14"/>
          </w:rPr>
          <w:t>Transl Neurol.</w:t>
        </w:r>
        <w:r>
          <w:rPr>
            <w:color w:val="127EAD"/>
            <w:spacing w:val="14"/>
            <w:sz w:val="14"/>
          </w:rPr>
          <w:t> </w:t>
        </w:r>
        <w:r>
          <w:rPr>
            <w:color w:val="127EAD"/>
            <w:sz w:val="14"/>
          </w:rPr>
          <w:t>2018;5:486–92</w:t>
        </w:r>
      </w:hyperlink>
      <w:r>
        <w:rPr>
          <w:sz w:val="14"/>
        </w:rPr>
        <w:t>.</w:t>
      </w:r>
    </w:p>
    <w:p>
      <w:pPr>
        <w:spacing w:after="0" w:line="247" w:lineRule="auto"/>
        <w:jc w:val="both"/>
        <w:rPr>
          <w:sz w:val="14"/>
        </w:rPr>
        <w:sectPr>
          <w:type w:val="continuous"/>
          <w:pgSz w:w="11910" w:h="15880"/>
          <w:pgMar w:top="660" w:bottom="280" w:left="780" w:right="840"/>
          <w:cols w:num="2" w:equalWidth="0">
            <w:col w:w="5143" w:space="137"/>
            <w:col w:w="5010"/>
          </w:cols>
        </w:sectPr>
      </w:pPr>
    </w:p>
    <w:p>
      <w:pPr>
        <w:pStyle w:val="BodyText"/>
        <w:spacing w:before="3"/>
        <w:rPr>
          <w:sz w:val="26"/>
        </w:rPr>
      </w:pPr>
    </w:p>
    <w:p>
      <w:pPr>
        <w:spacing w:after="0"/>
        <w:rPr>
          <w:sz w:val="26"/>
        </w:rPr>
        <w:sectPr>
          <w:pgSz w:w="11910" w:h="15880"/>
          <w:pgMar w:header="470" w:footer="0" w:top="840" w:bottom="280" w:left="840" w:right="780"/>
        </w:sectPr>
      </w:pPr>
    </w:p>
    <w:p>
      <w:pPr>
        <w:pStyle w:val="ListParagraph"/>
        <w:numPr>
          <w:ilvl w:val="3"/>
          <w:numId w:val="3"/>
        </w:numPr>
        <w:tabs>
          <w:tab w:pos="484" w:val="left" w:leader="none"/>
        </w:tabs>
        <w:spacing w:line="247" w:lineRule="auto" w:before="95" w:after="0"/>
        <w:ind w:left="483" w:right="252" w:hanging="297"/>
        <w:jc w:val="both"/>
        <w:rPr>
          <w:sz w:val="14"/>
        </w:rPr>
      </w:pPr>
      <w:r>
        <w:rPr/>
        <w:drawing>
          <wp:anchor distT="0" distB="0" distL="0" distR="0" allowOverlap="1" layoutInCell="1" locked="0" behindDoc="0" simplePos="0" relativeHeight="1720">
            <wp:simplePos x="0" y="0"/>
            <wp:positionH relativeFrom="page">
              <wp:posOffset>3792867</wp:posOffset>
            </wp:positionH>
            <wp:positionV relativeFrom="paragraph">
              <wp:posOffset>103620</wp:posOffset>
            </wp:positionV>
            <wp:extent cx="12649" cy="7671245"/>
            <wp:effectExtent l="0" t="0" r="0" b="0"/>
            <wp:wrapNone/>
            <wp:docPr id="29" name="image28.png" descr=""/>
            <wp:cNvGraphicFramePr>
              <a:graphicFrameLocks noChangeAspect="1"/>
            </wp:cNvGraphicFramePr>
            <a:graphic>
              <a:graphicData uri="http://schemas.openxmlformats.org/drawingml/2006/picture">
                <pic:pic>
                  <pic:nvPicPr>
                    <pic:cNvPr id="30" name="image28.png"/>
                    <pic:cNvPicPr/>
                  </pic:nvPicPr>
                  <pic:blipFill>
                    <a:blip r:embed="rId119" cstate="print"/>
                    <a:stretch>
                      <a:fillRect/>
                    </a:stretch>
                  </pic:blipFill>
                  <pic:spPr>
                    <a:xfrm>
                      <a:off x="0" y="0"/>
                      <a:ext cx="12649" cy="7671245"/>
                    </a:xfrm>
                    <a:prstGeom prst="rect">
                      <a:avLst/>
                    </a:prstGeom>
                  </pic:spPr>
                </pic:pic>
              </a:graphicData>
            </a:graphic>
          </wp:anchor>
        </w:drawing>
      </w:r>
      <w:bookmarkStart w:name="_bookmark96" w:id="124"/>
      <w:bookmarkEnd w:id="124"/>
      <w:r>
        <w:rPr/>
      </w:r>
      <w:hyperlink r:id="rId120">
        <w:bookmarkStart w:name="_bookmark96" w:id="125"/>
        <w:bookmarkEnd w:id="125"/>
        <w:r>
          <w:rPr>
            <w:color w:val="127EAD"/>
            <w:sz w:val="14"/>
          </w:rPr>
          <w:t>Nakane</w:t>
        </w:r>
        <w:r>
          <w:rPr>
            <w:color w:val="127EAD"/>
            <w:sz w:val="14"/>
          </w:rPr>
          <w:t> S, Koike H, Hayashi T, Nakatsuji Y. Autoimmune autonomic</w:t>
        </w:r>
      </w:hyperlink>
      <w:r>
        <w:rPr>
          <w:color w:val="127EAD"/>
          <w:sz w:val="14"/>
        </w:rPr>
        <w:t> </w:t>
      </w:r>
      <w:bookmarkStart w:name="_bookmark97" w:id="126"/>
      <w:bookmarkEnd w:id="126"/>
      <w:r>
        <w:rPr>
          <w:color w:val="127EAD"/>
          <w:sz w:val="14"/>
        </w:rPr>
      </w:r>
      <w:hyperlink r:id="rId120">
        <w:r>
          <w:rPr>
            <w:color w:val="127EAD"/>
            <w:sz w:val="14"/>
          </w:rPr>
          <w:t>neuropathy: from pathogenesis to diagnosis. Int J Mol Sci.</w:t>
        </w:r>
        <w:r>
          <w:rPr>
            <w:color w:val="127EAD"/>
            <w:spacing w:val="-11"/>
            <w:sz w:val="14"/>
          </w:rPr>
          <w:t> </w:t>
        </w:r>
        <w:r>
          <w:rPr>
            <w:color w:val="127EAD"/>
            <w:sz w:val="14"/>
          </w:rPr>
          <w:t>2024;25:2296</w:t>
        </w:r>
      </w:hyperlink>
      <w:r>
        <w:rPr>
          <w:sz w:val="14"/>
        </w:rPr>
        <w:t>.</w:t>
      </w:r>
    </w:p>
    <w:p>
      <w:pPr>
        <w:pStyle w:val="ListParagraph"/>
        <w:numPr>
          <w:ilvl w:val="3"/>
          <w:numId w:val="3"/>
        </w:numPr>
        <w:tabs>
          <w:tab w:pos="484" w:val="left" w:leader="none"/>
        </w:tabs>
        <w:spacing w:line="247" w:lineRule="auto" w:before="0" w:after="0"/>
        <w:ind w:left="483" w:right="252" w:hanging="297"/>
        <w:jc w:val="both"/>
        <w:rPr>
          <w:sz w:val="14"/>
        </w:rPr>
      </w:pPr>
      <w:hyperlink r:id="rId121">
        <w:r>
          <w:rPr>
            <w:color w:val="127EAD"/>
            <w:sz w:val="14"/>
          </w:rPr>
          <w:t>Golden EP, Vernino S. Autoimmune autonomic neuropathies and</w:t>
        </w:r>
      </w:hyperlink>
      <w:r>
        <w:rPr>
          <w:color w:val="127EAD"/>
          <w:sz w:val="14"/>
        </w:rPr>
        <w:t> </w:t>
      </w:r>
      <w:hyperlink r:id="rId121">
        <w:r>
          <w:rPr>
            <w:color w:val="127EAD"/>
            <w:sz w:val="14"/>
          </w:rPr>
          <w:t>ganglionopathies: epidemiology, pathophysiology, and therapeutic</w:t>
        </w:r>
      </w:hyperlink>
      <w:r>
        <w:rPr>
          <w:color w:val="127EAD"/>
          <w:sz w:val="14"/>
        </w:rPr>
        <w:t> </w:t>
      </w:r>
      <w:bookmarkStart w:name="_bookmark98" w:id="127"/>
      <w:bookmarkEnd w:id="127"/>
      <w:r>
        <w:rPr>
          <w:color w:val="127EAD"/>
          <w:sz w:val="14"/>
        </w:rPr>
      </w:r>
      <w:hyperlink r:id="rId121">
        <w:r>
          <w:rPr>
            <w:color w:val="127EAD"/>
            <w:sz w:val="14"/>
          </w:rPr>
          <w:t>advances. Clin Auton Res.</w:t>
        </w:r>
        <w:r>
          <w:rPr>
            <w:color w:val="127EAD"/>
            <w:spacing w:val="32"/>
            <w:sz w:val="14"/>
          </w:rPr>
          <w:t> </w:t>
        </w:r>
        <w:r>
          <w:rPr>
            <w:color w:val="127EAD"/>
            <w:sz w:val="14"/>
          </w:rPr>
          <w:t>2019;29:277–88</w:t>
        </w:r>
      </w:hyperlink>
      <w:r>
        <w:rPr>
          <w:sz w:val="14"/>
        </w:rPr>
        <w:t>.</w:t>
      </w:r>
    </w:p>
    <w:p>
      <w:pPr>
        <w:pStyle w:val="ListParagraph"/>
        <w:numPr>
          <w:ilvl w:val="3"/>
          <w:numId w:val="3"/>
        </w:numPr>
        <w:tabs>
          <w:tab w:pos="484" w:val="left" w:leader="none"/>
        </w:tabs>
        <w:spacing w:line="247" w:lineRule="auto" w:before="0" w:after="0"/>
        <w:ind w:left="483" w:right="252" w:hanging="297"/>
        <w:jc w:val="both"/>
        <w:rPr>
          <w:sz w:val="14"/>
        </w:rPr>
      </w:pPr>
      <w:hyperlink r:id="rId122">
        <w:r>
          <w:rPr>
            <w:color w:val="127EAD"/>
            <w:sz w:val="14"/>
          </w:rPr>
          <w:t>Blitshteyn S, Treisman GJ, Ruhoy IS, Saperstein DS, Schofield JR,</w:t>
        </w:r>
      </w:hyperlink>
      <w:r>
        <w:rPr>
          <w:color w:val="127EAD"/>
          <w:sz w:val="14"/>
        </w:rPr>
        <w:t> </w:t>
      </w:r>
      <w:hyperlink r:id="rId122">
        <w:r>
          <w:rPr>
            <w:color w:val="127EAD"/>
            <w:sz w:val="14"/>
          </w:rPr>
          <w:t>Goodman BP, et al. Postural orthostatic tachycardia syndrome and</w:t>
        </w:r>
      </w:hyperlink>
      <w:r>
        <w:rPr>
          <w:color w:val="127EAD"/>
          <w:sz w:val="14"/>
        </w:rPr>
        <w:t> </w:t>
      </w:r>
      <w:hyperlink r:id="rId122">
        <w:r>
          <w:rPr>
            <w:color w:val="127EAD"/>
            <w:sz w:val="14"/>
          </w:rPr>
          <w:t>other common autonomic disorders are not functional neurologic dis-</w:t>
        </w:r>
      </w:hyperlink>
      <w:r>
        <w:rPr>
          <w:color w:val="127EAD"/>
          <w:sz w:val="14"/>
        </w:rPr>
        <w:t> </w:t>
      </w:r>
      <w:hyperlink r:id="rId122">
        <w:r>
          <w:rPr>
            <w:color w:val="127EAD"/>
            <w:sz w:val="14"/>
          </w:rPr>
          <w:t>orders. Front Neurol.</w:t>
        </w:r>
        <w:r>
          <w:rPr>
            <w:color w:val="127EAD"/>
            <w:spacing w:val="22"/>
            <w:sz w:val="14"/>
          </w:rPr>
          <w:t> </w:t>
        </w:r>
        <w:r>
          <w:rPr>
            <w:color w:val="127EAD"/>
            <w:sz w:val="14"/>
          </w:rPr>
          <w:t>2024;15:1490744</w:t>
        </w:r>
      </w:hyperlink>
      <w:r>
        <w:rPr>
          <w:sz w:val="14"/>
        </w:rPr>
        <w:t>.</w:t>
      </w:r>
    </w:p>
    <w:p>
      <w:pPr>
        <w:pStyle w:val="ListParagraph"/>
        <w:numPr>
          <w:ilvl w:val="3"/>
          <w:numId w:val="3"/>
        </w:numPr>
        <w:tabs>
          <w:tab w:pos="484" w:val="left" w:leader="none"/>
        </w:tabs>
        <w:spacing w:line="247" w:lineRule="auto" w:before="0" w:after="0"/>
        <w:ind w:left="483" w:right="252" w:hanging="297"/>
        <w:jc w:val="both"/>
        <w:rPr>
          <w:sz w:val="14"/>
        </w:rPr>
      </w:pPr>
      <w:hyperlink r:id="rId123">
        <w:r>
          <w:rPr>
            <w:color w:val="127EAD"/>
            <w:sz w:val="14"/>
          </w:rPr>
          <w:t>Davenport TE, Blitshteyn S, Clague-Baker N, Davies-Payne D,</w:t>
        </w:r>
      </w:hyperlink>
      <w:r>
        <w:rPr>
          <w:color w:val="127EAD"/>
          <w:sz w:val="14"/>
        </w:rPr>
        <w:t> </w:t>
      </w:r>
      <w:hyperlink r:id="rId123">
        <w:r>
          <w:rPr>
            <w:color w:val="127EAD"/>
            <w:sz w:val="14"/>
          </w:rPr>
          <w:t>Treisman GJ, Tyson SF. Long COVID is not a functional neurologic</w:t>
        </w:r>
      </w:hyperlink>
      <w:r>
        <w:rPr>
          <w:color w:val="127EAD"/>
          <w:sz w:val="14"/>
        </w:rPr>
        <w:t> </w:t>
      </w:r>
      <w:bookmarkStart w:name="_bookmark99" w:id="128"/>
      <w:bookmarkEnd w:id="128"/>
      <w:r>
        <w:rPr>
          <w:color w:val="127EAD"/>
          <w:sz w:val="14"/>
        </w:rPr>
      </w:r>
      <w:hyperlink r:id="rId123">
        <w:r>
          <w:rPr>
            <w:color w:val="127EAD"/>
            <w:sz w:val="14"/>
          </w:rPr>
          <w:t>disorder. J Pers Med.  2024;14:799</w:t>
        </w:r>
      </w:hyperlink>
      <w:r>
        <w:rPr>
          <w:sz w:val="14"/>
        </w:rPr>
        <w:t>.</w:t>
      </w:r>
    </w:p>
    <w:p>
      <w:pPr>
        <w:pStyle w:val="ListParagraph"/>
        <w:numPr>
          <w:ilvl w:val="3"/>
          <w:numId w:val="3"/>
        </w:numPr>
        <w:tabs>
          <w:tab w:pos="484" w:val="left" w:leader="none"/>
        </w:tabs>
        <w:spacing w:line="247" w:lineRule="auto" w:before="1" w:after="0"/>
        <w:ind w:left="483" w:right="252" w:hanging="297"/>
        <w:jc w:val="both"/>
        <w:rPr>
          <w:sz w:val="14"/>
        </w:rPr>
      </w:pPr>
      <w:hyperlink r:id="rId124">
        <w:r>
          <w:rPr>
            <w:color w:val="127EAD"/>
            <w:sz w:val="14"/>
          </w:rPr>
          <w:t>Freeman R, Wieling W, Axelrod FB, Benditt DG, Benarroch E,</w:t>
        </w:r>
      </w:hyperlink>
      <w:r>
        <w:rPr>
          <w:color w:val="127EAD"/>
          <w:sz w:val="14"/>
        </w:rPr>
        <w:t>  </w:t>
      </w:r>
      <w:hyperlink r:id="rId124">
        <w:r>
          <w:rPr>
            <w:color w:val="127EAD"/>
            <w:sz w:val="14"/>
          </w:rPr>
          <w:t>Biaggioni I, et al. Consensus statement on the definition of orthostatic</w:t>
        </w:r>
      </w:hyperlink>
      <w:r>
        <w:rPr>
          <w:color w:val="127EAD"/>
          <w:sz w:val="14"/>
        </w:rPr>
        <w:t> </w:t>
      </w:r>
      <w:hyperlink r:id="rId124">
        <w:r>
          <w:rPr>
            <w:color w:val="127EAD"/>
            <w:sz w:val="14"/>
          </w:rPr>
          <w:t>hypotension, neurally mediated syncope and the postural tachycardia</w:t>
        </w:r>
      </w:hyperlink>
      <w:r>
        <w:rPr>
          <w:color w:val="127EAD"/>
          <w:sz w:val="14"/>
        </w:rPr>
        <w:t> </w:t>
      </w:r>
      <w:bookmarkStart w:name="_bookmark100" w:id="129"/>
      <w:bookmarkEnd w:id="129"/>
      <w:r>
        <w:rPr>
          <w:color w:val="127EAD"/>
          <w:sz w:val="14"/>
        </w:rPr>
      </w:r>
      <w:hyperlink r:id="rId124">
        <w:r>
          <w:rPr>
            <w:color w:val="127EAD"/>
            <w:sz w:val="14"/>
          </w:rPr>
          <w:t>syndrome. Clin Auton Res.</w:t>
        </w:r>
        <w:r>
          <w:rPr>
            <w:color w:val="127EAD"/>
            <w:spacing w:val="33"/>
            <w:sz w:val="14"/>
          </w:rPr>
          <w:t> </w:t>
        </w:r>
        <w:r>
          <w:rPr>
            <w:color w:val="127EAD"/>
            <w:sz w:val="14"/>
          </w:rPr>
          <w:t>2011;21:69–72</w:t>
        </w:r>
      </w:hyperlink>
      <w:r>
        <w:rPr>
          <w:sz w:val="14"/>
        </w:rPr>
        <w:t>.</w:t>
      </w:r>
    </w:p>
    <w:p>
      <w:pPr>
        <w:pStyle w:val="ListParagraph"/>
        <w:numPr>
          <w:ilvl w:val="3"/>
          <w:numId w:val="3"/>
        </w:numPr>
        <w:tabs>
          <w:tab w:pos="484" w:val="left" w:leader="none"/>
        </w:tabs>
        <w:spacing w:line="247" w:lineRule="auto" w:before="0" w:after="0"/>
        <w:ind w:left="483" w:right="252" w:hanging="297"/>
        <w:jc w:val="both"/>
        <w:rPr>
          <w:sz w:val="14"/>
        </w:rPr>
      </w:pPr>
      <w:hyperlink r:id="rId125">
        <w:r>
          <w:rPr>
            <w:color w:val="127EAD"/>
            <w:sz w:val="14"/>
          </w:rPr>
          <w:t>Desk</w:t>
        </w:r>
        <w:r>
          <w:rPr>
            <w:color w:val="127EAD"/>
            <w:spacing w:val="-3"/>
            <w:sz w:val="14"/>
          </w:rPr>
          <w:t> </w:t>
        </w:r>
        <w:r>
          <w:rPr>
            <w:color w:val="127EAD"/>
            <w:sz w:val="14"/>
          </w:rPr>
          <w:t>Reference</w:t>
        </w:r>
        <w:r>
          <w:rPr>
            <w:color w:val="127EAD"/>
            <w:spacing w:val="-3"/>
            <w:sz w:val="14"/>
          </w:rPr>
          <w:t> </w:t>
        </w:r>
        <w:r>
          <w:rPr>
            <w:color w:val="127EAD"/>
            <w:sz w:val="14"/>
          </w:rPr>
          <w:t>to</w:t>
        </w:r>
        <w:r>
          <w:rPr>
            <w:color w:val="127EAD"/>
            <w:spacing w:val="-4"/>
            <w:sz w:val="14"/>
          </w:rPr>
          <w:t> </w:t>
        </w:r>
        <w:r>
          <w:rPr>
            <w:color w:val="127EAD"/>
            <w:sz w:val="14"/>
          </w:rPr>
          <w:t>the</w:t>
        </w:r>
        <w:r>
          <w:rPr>
            <w:color w:val="127EAD"/>
            <w:spacing w:val="-3"/>
            <w:sz w:val="14"/>
          </w:rPr>
          <w:t> </w:t>
        </w:r>
        <w:r>
          <w:rPr>
            <w:color w:val="127EAD"/>
            <w:sz w:val="14"/>
          </w:rPr>
          <w:t>Diagnostic</w:t>
        </w:r>
        <w:r>
          <w:rPr>
            <w:color w:val="127EAD"/>
            <w:spacing w:val="-3"/>
            <w:sz w:val="14"/>
          </w:rPr>
          <w:t> </w:t>
        </w:r>
        <w:r>
          <w:rPr>
            <w:color w:val="127EAD"/>
            <w:sz w:val="14"/>
          </w:rPr>
          <w:t>Criteria</w:t>
        </w:r>
        <w:r>
          <w:rPr>
            <w:color w:val="127EAD"/>
            <w:spacing w:val="-3"/>
            <w:sz w:val="14"/>
          </w:rPr>
          <w:t> </w:t>
        </w:r>
        <w:r>
          <w:rPr>
            <w:color w:val="127EAD"/>
            <w:sz w:val="14"/>
          </w:rPr>
          <w:t>from</w:t>
        </w:r>
        <w:r>
          <w:rPr>
            <w:color w:val="127EAD"/>
            <w:spacing w:val="-4"/>
            <w:sz w:val="14"/>
          </w:rPr>
          <w:t> </w:t>
        </w:r>
        <w:r>
          <w:rPr>
            <w:color w:val="127EAD"/>
            <w:sz w:val="14"/>
          </w:rPr>
          <w:t>DSM-5-TR.</w:t>
        </w:r>
        <w:r>
          <w:rPr>
            <w:color w:val="127EAD"/>
            <w:spacing w:val="-3"/>
            <w:sz w:val="14"/>
          </w:rPr>
          <w:t> </w:t>
        </w:r>
        <w:r>
          <w:rPr>
            <w:color w:val="127EAD"/>
            <w:sz w:val="14"/>
          </w:rPr>
          <w:t>Washington,</w:t>
        </w:r>
      </w:hyperlink>
      <w:r>
        <w:rPr>
          <w:color w:val="127EAD"/>
          <w:sz w:val="14"/>
        </w:rPr>
        <w:t> </w:t>
      </w:r>
      <w:bookmarkStart w:name="_bookmark101" w:id="130"/>
      <w:bookmarkEnd w:id="130"/>
      <w:r>
        <w:rPr>
          <w:color w:val="127EAD"/>
          <w:sz w:val="14"/>
        </w:rPr>
      </w:r>
      <w:hyperlink r:id="rId125">
        <w:r>
          <w:rPr>
            <w:color w:val="127EAD"/>
            <w:sz w:val="14"/>
          </w:rPr>
          <w:t>DC: American Psychiatric Association Publishing; </w:t>
        </w:r>
        <w:r>
          <w:rPr>
            <w:color w:val="127EAD"/>
            <w:spacing w:val="5"/>
            <w:sz w:val="14"/>
          </w:rPr>
          <w:t> </w:t>
        </w:r>
        <w:r>
          <w:rPr>
            <w:color w:val="127EAD"/>
            <w:sz w:val="14"/>
          </w:rPr>
          <w:t>2022</w:t>
        </w:r>
      </w:hyperlink>
      <w:r>
        <w:rPr>
          <w:sz w:val="14"/>
        </w:rPr>
        <w:t>.</w:t>
      </w:r>
    </w:p>
    <w:p>
      <w:pPr>
        <w:pStyle w:val="ListParagraph"/>
        <w:numPr>
          <w:ilvl w:val="3"/>
          <w:numId w:val="3"/>
        </w:numPr>
        <w:tabs>
          <w:tab w:pos="484" w:val="left" w:leader="none"/>
        </w:tabs>
        <w:spacing w:line="247" w:lineRule="auto" w:before="0" w:after="0"/>
        <w:ind w:left="483" w:right="252" w:hanging="297"/>
        <w:jc w:val="both"/>
        <w:rPr>
          <w:sz w:val="14"/>
        </w:rPr>
      </w:pPr>
      <w:hyperlink r:id="rId126">
        <w:r>
          <w:rPr>
            <w:color w:val="127EAD"/>
            <w:sz w:val="14"/>
          </w:rPr>
          <w:t>Firth K, Kharraziha I, Johansson M, Sutton R, Daukantaité D,</w:t>
        </w:r>
      </w:hyperlink>
      <w:r>
        <w:rPr>
          <w:color w:val="127EAD"/>
          <w:sz w:val="14"/>
        </w:rPr>
        <w:t> </w:t>
      </w:r>
      <w:hyperlink r:id="rId126">
        <w:r>
          <w:rPr>
            <w:color w:val="127EAD"/>
            <w:sz w:val="14"/>
          </w:rPr>
          <w:t>Hamrefors V, et al. Clinical characteristics of psychogenic pseudo-</w:t>
        </w:r>
      </w:hyperlink>
      <w:r>
        <w:rPr>
          <w:color w:val="127EAD"/>
          <w:sz w:val="14"/>
        </w:rPr>
        <w:t> </w:t>
      </w:r>
      <w:bookmarkStart w:name="_bookmark102" w:id="131"/>
      <w:bookmarkEnd w:id="131"/>
      <w:r>
        <w:rPr>
          <w:color w:val="127EAD"/>
          <w:sz w:val="14"/>
        </w:rPr>
      </w:r>
      <w:hyperlink r:id="rId126">
        <w:r>
          <w:rPr>
            <w:color w:val="127EAD"/>
            <w:sz w:val="14"/>
          </w:rPr>
          <w:t>syncope in a population-based cohort. Europace. </w:t>
        </w:r>
        <w:r>
          <w:rPr>
            <w:color w:val="127EAD"/>
            <w:spacing w:val="13"/>
            <w:sz w:val="14"/>
          </w:rPr>
          <w:t> </w:t>
        </w:r>
        <w:r>
          <w:rPr>
            <w:color w:val="127EAD"/>
            <w:sz w:val="14"/>
          </w:rPr>
          <w:t>2025;27:euaf125</w:t>
        </w:r>
      </w:hyperlink>
      <w:r>
        <w:rPr>
          <w:sz w:val="14"/>
        </w:rPr>
        <w:t>.</w:t>
      </w:r>
    </w:p>
    <w:p>
      <w:pPr>
        <w:pStyle w:val="ListParagraph"/>
        <w:numPr>
          <w:ilvl w:val="3"/>
          <w:numId w:val="3"/>
        </w:numPr>
        <w:tabs>
          <w:tab w:pos="484" w:val="left" w:leader="none"/>
        </w:tabs>
        <w:spacing w:line="247" w:lineRule="auto" w:before="0" w:after="0"/>
        <w:ind w:left="483" w:right="252" w:hanging="297"/>
        <w:jc w:val="both"/>
        <w:rPr>
          <w:sz w:val="14"/>
        </w:rPr>
      </w:pPr>
      <w:hyperlink r:id="rId127">
        <w:r>
          <w:rPr>
            <w:color w:val="127EAD"/>
            <w:sz w:val="14"/>
          </w:rPr>
          <w:t>Pace LA, Kong N, Itani MI, Hemp J. The neuroimmune axis in</w:t>
        </w:r>
      </w:hyperlink>
      <w:r>
        <w:rPr>
          <w:color w:val="127EAD"/>
          <w:sz w:val="14"/>
        </w:rPr>
        <w:t> </w:t>
      </w:r>
      <w:hyperlink r:id="rId127">
        <w:r>
          <w:rPr>
            <w:color w:val="127EAD"/>
            <w:sz w:val="14"/>
          </w:rPr>
          <w:t>gastrointestinal disorders - an underrecognized problem. Curr Gas-</w:t>
        </w:r>
      </w:hyperlink>
      <w:r>
        <w:rPr>
          <w:color w:val="127EAD"/>
          <w:sz w:val="14"/>
        </w:rPr>
        <w:t> </w:t>
      </w:r>
      <w:bookmarkStart w:name="_bookmark103" w:id="132"/>
      <w:bookmarkEnd w:id="132"/>
      <w:r>
        <w:rPr>
          <w:color w:val="127EAD"/>
          <w:sz w:val="14"/>
        </w:rPr>
      </w:r>
      <w:hyperlink r:id="rId127">
        <w:r>
          <w:rPr>
            <w:color w:val="127EAD"/>
            <w:sz w:val="14"/>
          </w:rPr>
          <w:t>troenterol Rep.</w:t>
        </w:r>
        <w:r>
          <w:rPr>
            <w:color w:val="127EAD"/>
            <w:spacing w:val="15"/>
            <w:sz w:val="14"/>
          </w:rPr>
          <w:t> </w:t>
        </w:r>
        <w:r>
          <w:rPr>
            <w:color w:val="127EAD"/>
            <w:sz w:val="14"/>
          </w:rPr>
          <w:t>2025;27:28</w:t>
        </w:r>
      </w:hyperlink>
      <w:r>
        <w:rPr>
          <w:sz w:val="14"/>
        </w:rPr>
        <w:t>.</w:t>
      </w:r>
    </w:p>
    <w:p>
      <w:pPr>
        <w:pStyle w:val="ListParagraph"/>
        <w:numPr>
          <w:ilvl w:val="3"/>
          <w:numId w:val="3"/>
        </w:numPr>
        <w:tabs>
          <w:tab w:pos="484" w:val="left" w:leader="none"/>
        </w:tabs>
        <w:spacing w:line="247" w:lineRule="auto" w:before="0" w:after="0"/>
        <w:ind w:left="483" w:right="252" w:hanging="297"/>
        <w:jc w:val="both"/>
        <w:rPr>
          <w:sz w:val="14"/>
        </w:rPr>
      </w:pPr>
      <w:hyperlink r:id="rId128">
        <w:r>
          <w:rPr>
            <w:color w:val="127EAD"/>
            <w:sz w:val="14"/>
          </w:rPr>
          <w:t>Choi EL, Taheri N, Zhang Y, Matsumoto K, Hayashi Y. The critical</w:t>
        </w:r>
      </w:hyperlink>
      <w:r>
        <w:rPr>
          <w:color w:val="127EAD"/>
          <w:sz w:val="14"/>
        </w:rPr>
        <w:t>   </w:t>
      </w:r>
      <w:hyperlink r:id="rId128">
        <w:r>
          <w:rPr>
            <w:color w:val="127EAD"/>
            <w:sz w:val="14"/>
          </w:rPr>
          <w:t>role of muscularis macrophages in modulating the enteric nervous</w:t>
        </w:r>
      </w:hyperlink>
      <w:r>
        <w:rPr>
          <w:color w:val="127EAD"/>
          <w:sz w:val="14"/>
        </w:rPr>
        <w:t> </w:t>
      </w:r>
      <w:hyperlink r:id="rId128">
        <w:r>
          <w:rPr>
            <w:color w:val="127EAD"/>
            <w:sz w:val="14"/>
          </w:rPr>
          <w:t>system function and gastrointestinal motility. J Smooth Muscle Res.</w:t>
        </w:r>
      </w:hyperlink>
      <w:r>
        <w:rPr>
          <w:color w:val="127EAD"/>
          <w:sz w:val="14"/>
        </w:rPr>
        <w:t> </w:t>
      </w:r>
      <w:bookmarkStart w:name="_bookmark104" w:id="133"/>
      <w:bookmarkEnd w:id="133"/>
      <w:r>
        <w:rPr>
          <w:color w:val="127EAD"/>
          <w:sz w:val="14"/>
        </w:rPr>
      </w:r>
      <w:hyperlink r:id="rId128">
        <w:r>
          <w:rPr>
            <w:color w:val="127EAD"/>
            <w:sz w:val="14"/>
          </w:rPr>
          <w:t>2024;60:1–9</w:t>
        </w:r>
      </w:hyperlink>
      <w:r>
        <w:rPr>
          <w:sz w:val="14"/>
        </w:rPr>
        <w:t>.</w:t>
      </w:r>
    </w:p>
    <w:p>
      <w:pPr>
        <w:pStyle w:val="ListParagraph"/>
        <w:numPr>
          <w:ilvl w:val="3"/>
          <w:numId w:val="3"/>
        </w:numPr>
        <w:tabs>
          <w:tab w:pos="484" w:val="left" w:leader="none"/>
        </w:tabs>
        <w:spacing w:line="247" w:lineRule="auto" w:before="0" w:after="0"/>
        <w:ind w:left="483" w:right="252" w:hanging="297"/>
        <w:jc w:val="both"/>
        <w:rPr>
          <w:sz w:val="14"/>
        </w:rPr>
      </w:pPr>
      <w:hyperlink r:id="rId129">
        <w:r>
          <w:rPr>
            <w:color w:val="127EAD"/>
            <w:sz w:val="14"/>
          </w:rPr>
          <w:t>Aguilera-Lizarraga J, Florens MV, Viola MF, Jain P, Decraecker L,</w:t>
        </w:r>
      </w:hyperlink>
      <w:r>
        <w:rPr>
          <w:color w:val="127EAD"/>
          <w:sz w:val="14"/>
        </w:rPr>
        <w:t> </w:t>
      </w:r>
      <w:hyperlink r:id="rId129">
        <w:r>
          <w:rPr>
            <w:color w:val="127EAD"/>
            <w:sz w:val="14"/>
          </w:rPr>
          <w:t>Appeltans</w:t>
        </w:r>
        <w:r>
          <w:rPr>
            <w:color w:val="127EAD"/>
            <w:spacing w:val="-3"/>
            <w:sz w:val="14"/>
          </w:rPr>
          <w:t> </w:t>
        </w:r>
        <w:r>
          <w:rPr>
            <w:color w:val="127EAD"/>
            <w:sz w:val="14"/>
          </w:rPr>
          <w:t>I,</w:t>
        </w:r>
        <w:r>
          <w:rPr>
            <w:color w:val="127EAD"/>
            <w:spacing w:val="-4"/>
            <w:sz w:val="14"/>
          </w:rPr>
          <w:t> </w:t>
        </w:r>
        <w:r>
          <w:rPr>
            <w:color w:val="127EAD"/>
            <w:sz w:val="14"/>
          </w:rPr>
          <w:t>et</w:t>
        </w:r>
        <w:r>
          <w:rPr>
            <w:color w:val="127EAD"/>
            <w:spacing w:val="-3"/>
            <w:sz w:val="14"/>
          </w:rPr>
          <w:t> </w:t>
        </w:r>
        <w:r>
          <w:rPr>
            <w:color w:val="127EAD"/>
            <w:sz w:val="14"/>
          </w:rPr>
          <w:t>al.</w:t>
        </w:r>
        <w:r>
          <w:rPr>
            <w:color w:val="127EAD"/>
            <w:spacing w:val="-2"/>
            <w:sz w:val="14"/>
          </w:rPr>
          <w:t> </w:t>
        </w:r>
        <w:r>
          <w:rPr>
            <w:color w:val="127EAD"/>
            <w:sz w:val="14"/>
          </w:rPr>
          <w:t>Local</w:t>
        </w:r>
        <w:r>
          <w:rPr>
            <w:color w:val="127EAD"/>
            <w:spacing w:val="-4"/>
            <w:sz w:val="14"/>
          </w:rPr>
          <w:t> </w:t>
        </w:r>
        <w:r>
          <w:rPr>
            <w:color w:val="127EAD"/>
            <w:sz w:val="14"/>
          </w:rPr>
          <w:t>immune</w:t>
        </w:r>
        <w:r>
          <w:rPr>
            <w:color w:val="127EAD"/>
            <w:spacing w:val="-3"/>
            <w:sz w:val="14"/>
          </w:rPr>
          <w:t> </w:t>
        </w:r>
        <w:r>
          <w:rPr>
            <w:color w:val="127EAD"/>
            <w:sz w:val="14"/>
          </w:rPr>
          <w:t>response</w:t>
        </w:r>
        <w:r>
          <w:rPr>
            <w:color w:val="127EAD"/>
            <w:spacing w:val="-3"/>
            <w:sz w:val="14"/>
          </w:rPr>
          <w:t> </w:t>
        </w:r>
        <w:r>
          <w:rPr>
            <w:color w:val="127EAD"/>
            <w:sz w:val="14"/>
          </w:rPr>
          <w:t>to</w:t>
        </w:r>
        <w:r>
          <w:rPr>
            <w:color w:val="127EAD"/>
            <w:spacing w:val="-4"/>
            <w:sz w:val="14"/>
          </w:rPr>
          <w:t> </w:t>
        </w:r>
        <w:r>
          <w:rPr>
            <w:color w:val="127EAD"/>
            <w:sz w:val="14"/>
          </w:rPr>
          <w:t>food</w:t>
        </w:r>
        <w:r>
          <w:rPr>
            <w:color w:val="127EAD"/>
            <w:spacing w:val="-3"/>
            <w:sz w:val="14"/>
          </w:rPr>
          <w:t> </w:t>
        </w:r>
        <w:r>
          <w:rPr>
            <w:color w:val="127EAD"/>
            <w:sz w:val="14"/>
          </w:rPr>
          <w:t>antigens</w:t>
        </w:r>
        <w:r>
          <w:rPr>
            <w:color w:val="127EAD"/>
            <w:spacing w:val="-4"/>
            <w:sz w:val="14"/>
          </w:rPr>
          <w:t> </w:t>
        </w:r>
        <w:r>
          <w:rPr>
            <w:color w:val="127EAD"/>
            <w:sz w:val="14"/>
          </w:rPr>
          <w:t>drives</w:t>
        </w:r>
        <w:r>
          <w:rPr>
            <w:color w:val="127EAD"/>
            <w:spacing w:val="-4"/>
            <w:sz w:val="14"/>
          </w:rPr>
          <w:t> </w:t>
        </w:r>
        <w:r>
          <w:rPr>
            <w:color w:val="127EAD"/>
            <w:sz w:val="14"/>
          </w:rPr>
          <w:t>meal-</w:t>
        </w:r>
      </w:hyperlink>
      <w:r>
        <w:rPr>
          <w:color w:val="127EAD"/>
          <w:sz w:val="14"/>
        </w:rPr>
        <w:t> </w:t>
      </w:r>
      <w:bookmarkStart w:name="_bookmark105" w:id="134"/>
      <w:bookmarkEnd w:id="134"/>
      <w:r>
        <w:rPr>
          <w:color w:val="127EAD"/>
          <w:sz w:val="14"/>
        </w:rPr>
      </w:r>
      <w:hyperlink r:id="rId129">
        <w:r>
          <w:rPr>
            <w:color w:val="127EAD"/>
            <w:sz w:val="14"/>
          </w:rPr>
          <w:t>induced abdominal pain. Nature.</w:t>
        </w:r>
        <w:r>
          <w:rPr>
            <w:color w:val="127EAD"/>
            <w:spacing w:val="32"/>
            <w:sz w:val="14"/>
          </w:rPr>
          <w:t> </w:t>
        </w:r>
        <w:r>
          <w:rPr>
            <w:color w:val="127EAD"/>
            <w:sz w:val="14"/>
          </w:rPr>
          <w:t>2021;590:151–6</w:t>
        </w:r>
      </w:hyperlink>
      <w:r>
        <w:rPr>
          <w:sz w:val="14"/>
        </w:rPr>
        <w:t>.</w:t>
      </w:r>
    </w:p>
    <w:p>
      <w:pPr>
        <w:pStyle w:val="ListParagraph"/>
        <w:numPr>
          <w:ilvl w:val="3"/>
          <w:numId w:val="3"/>
        </w:numPr>
        <w:tabs>
          <w:tab w:pos="484" w:val="left" w:leader="none"/>
        </w:tabs>
        <w:spacing w:line="247" w:lineRule="auto" w:before="0" w:after="0"/>
        <w:ind w:left="483" w:right="252" w:hanging="297"/>
        <w:jc w:val="both"/>
        <w:rPr>
          <w:sz w:val="14"/>
        </w:rPr>
      </w:pPr>
      <w:hyperlink r:id="rId130">
        <w:r>
          <w:rPr>
            <w:color w:val="127EAD"/>
            <w:sz w:val="14"/>
          </w:rPr>
          <w:t>Park KJ, Singer W, Sletten DM, Low PA, Bharucha AE. Gastric</w:t>
        </w:r>
      </w:hyperlink>
      <w:r>
        <w:rPr>
          <w:color w:val="127EAD"/>
          <w:sz w:val="14"/>
        </w:rPr>
        <w:t> </w:t>
      </w:r>
      <w:hyperlink r:id="rId130">
        <w:r>
          <w:rPr>
            <w:color w:val="127EAD"/>
            <w:sz w:val="14"/>
          </w:rPr>
          <w:t>emptying in postural tachycardia syndrome: a preliminary report. Clin</w:t>
        </w:r>
      </w:hyperlink>
      <w:r>
        <w:rPr>
          <w:color w:val="127EAD"/>
          <w:sz w:val="14"/>
        </w:rPr>
        <w:t> </w:t>
      </w:r>
      <w:bookmarkStart w:name="_bookmark106" w:id="135"/>
      <w:bookmarkEnd w:id="135"/>
      <w:r>
        <w:rPr>
          <w:color w:val="127EAD"/>
          <w:sz w:val="14"/>
        </w:rPr>
      </w:r>
      <w:hyperlink r:id="rId130">
        <w:r>
          <w:rPr>
            <w:color w:val="127EAD"/>
            <w:sz w:val="14"/>
          </w:rPr>
          <w:t>Auton Res.</w:t>
        </w:r>
        <w:r>
          <w:rPr>
            <w:color w:val="127EAD"/>
            <w:spacing w:val="15"/>
            <w:sz w:val="14"/>
          </w:rPr>
          <w:t> </w:t>
        </w:r>
        <w:r>
          <w:rPr>
            <w:color w:val="127EAD"/>
            <w:sz w:val="14"/>
          </w:rPr>
          <w:t>2013;23:163–7</w:t>
        </w:r>
      </w:hyperlink>
      <w:r>
        <w:rPr>
          <w:sz w:val="14"/>
        </w:rPr>
        <w:t>.</w:t>
      </w:r>
    </w:p>
    <w:p>
      <w:pPr>
        <w:pStyle w:val="ListParagraph"/>
        <w:numPr>
          <w:ilvl w:val="3"/>
          <w:numId w:val="3"/>
        </w:numPr>
        <w:tabs>
          <w:tab w:pos="484" w:val="left" w:leader="none"/>
        </w:tabs>
        <w:spacing w:line="247" w:lineRule="auto" w:before="0" w:after="0"/>
        <w:ind w:left="483" w:right="252" w:hanging="297"/>
        <w:jc w:val="both"/>
        <w:rPr>
          <w:sz w:val="14"/>
        </w:rPr>
      </w:pPr>
      <w:hyperlink r:id="rId131">
        <w:r>
          <w:rPr>
            <w:color w:val="127EAD"/>
            <w:sz w:val="14"/>
          </w:rPr>
          <w:t>Ganesh R, Bonnes SLR, DiBaise JK. Postural tachycardia syndrome:</w:t>
        </w:r>
      </w:hyperlink>
      <w:r>
        <w:rPr>
          <w:color w:val="127EAD"/>
          <w:sz w:val="14"/>
        </w:rPr>
        <w:t> </w:t>
      </w:r>
      <w:bookmarkStart w:name="_bookmark107" w:id="136"/>
      <w:bookmarkEnd w:id="136"/>
      <w:r>
        <w:rPr>
          <w:color w:val="127EAD"/>
          <w:sz w:val="14"/>
        </w:rPr>
      </w:r>
      <w:hyperlink r:id="rId131">
        <w:r>
          <w:rPr>
            <w:color w:val="127EAD"/>
            <w:sz w:val="14"/>
          </w:rPr>
          <w:t>nutrition implications. Nutr Clin Pract. </w:t>
        </w:r>
        <w:r>
          <w:rPr>
            <w:color w:val="127EAD"/>
            <w:spacing w:val="5"/>
            <w:sz w:val="14"/>
          </w:rPr>
          <w:t> </w:t>
        </w:r>
        <w:r>
          <w:rPr>
            <w:color w:val="127EAD"/>
            <w:sz w:val="14"/>
          </w:rPr>
          <w:t>2020;35:818–25</w:t>
        </w:r>
      </w:hyperlink>
      <w:r>
        <w:rPr>
          <w:sz w:val="14"/>
        </w:rPr>
        <w:t>.</w:t>
      </w:r>
    </w:p>
    <w:p>
      <w:pPr>
        <w:pStyle w:val="ListParagraph"/>
        <w:numPr>
          <w:ilvl w:val="3"/>
          <w:numId w:val="3"/>
        </w:numPr>
        <w:tabs>
          <w:tab w:pos="484" w:val="left" w:leader="none"/>
        </w:tabs>
        <w:spacing w:line="247" w:lineRule="auto" w:before="0" w:after="0"/>
        <w:ind w:left="483" w:right="252" w:hanging="297"/>
        <w:jc w:val="both"/>
        <w:rPr>
          <w:sz w:val="14"/>
        </w:rPr>
      </w:pPr>
      <w:hyperlink r:id="rId132">
        <w:r>
          <w:rPr>
            <w:color w:val="127EAD"/>
            <w:sz w:val="14"/>
          </w:rPr>
          <w:t>Bharucha AE, Low PA, Camilleri M, Burton D, Gehrking TL,</w:t>
        </w:r>
      </w:hyperlink>
      <w:r>
        <w:rPr>
          <w:color w:val="127EAD"/>
          <w:sz w:val="14"/>
        </w:rPr>
        <w:t> </w:t>
      </w:r>
      <w:hyperlink r:id="rId132">
        <w:r>
          <w:rPr>
            <w:color w:val="127EAD"/>
            <w:sz w:val="14"/>
          </w:rPr>
          <w:t>Zinsmeister AR. Pilot  study  of  pyridostigmine  in  constipated</w:t>
        </w:r>
      </w:hyperlink>
      <w:r>
        <w:rPr>
          <w:color w:val="127EAD"/>
          <w:sz w:val="14"/>
        </w:rPr>
        <w:t> </w:t>
      </w:r>
      <w:bookmarkStart w:name="_bookmark108" w:id="137"/>
      <w:bookmarkEnd w:id="137"/>
      <w:r>
        <w:rPr>
          <w:color w:val="127EAD"/>
          <w:sz w:val="14"/>
        </w:rPr>
      </w:r>
      <w:hyperlink r:id="rId132">
        <w:r>
          <w:rPr>
            <w:color w:val="127EAD"/>
            <w:sz w:val="14"/>
          </w:rPr>
          <w:t>patients with autonomic neuropathy. Clin Auton Res. </w:t>
        </w:r>
        <w:r>
          <w:rPr>
            <w:color w:val="127EAD"/>
            <w:spacing w:val="4"/>
            <w:sz w:val="14"/>
          </w:rPr>
          <w:t> </w:t>
        </w:r>
        <w:r>
          <w:rPr>
            <w:color w:val="127EAD"/>
            <w:sz w:val="14"/>
          </w:rPr>
          <w:t>2008;18:194–202</w:t>
        </w:r>
      </w:hyperlink>
      <w:r>
        <w:rPr>
          <w:sz w:val="14"/>
        </w:rPr>
        <w:t>.</w:t>
      </w:r>
    </w:p>
    <w:p>
      <w:pPr>
        <w:pStyle w:val="ListParagraph"/>
        <w:numPr>
          <w:ilvl w:val="3"/>
          <w:numId w:val="3"/>
        </w:numPr>
        <w:tabs>
          <w:tab w:pos="484" w:val="left" w:leader="none"/>
        </w:tabs>
        <w:spacing w:line="247" w:lineRule="auto" w:before="0" w:after="0"/>
        <w:ind w:left="483" w:right="252" w:hanging="297"/>
        <w:jc w:val="both"/>
        <w:rPr>
          <w:sz w:val="14"/>
        </w:rPr>
      </w:pPr>
      <w:hyperlink r:id="rId133">
        <w:r>
          <w:rPr>
            <w:color w:val="127EAD"/>
            <w:sz w:val="14"/>
          </w:rPr>
          <w:t>Raj V, Haman KL, Raj SR, Byrne D, Blakely RD, Biaggioni I, et al.</w:t>
        </w:r>
      </w:hyperlink>
      <w:r>
        <w:rPr>
          <w:color w:val="127EAD"/>
          <w:sz w:val="14"/>
        </w:rPr>
        <w:t> </w:t>
      </w:r>
      <w:hyperlink r:id="rId133">
        <w:r>
          <w:rPr>
            <w:color w:val="127EAD"/>
            <w:sz w:val="14"/>
          </w:rPr>
          <w:t>Psychiatric profile and attention deficits in postural tachycardia syn-</w:t>
        </w:r>
      </w:hyperlink>
      <w:r>
        <w:rPr>
          <w:color w:val="127EAD"/>
          <w:sz w:val="14"/>
        </w:rPr>
        <w:t> </w:t>
      </w:r>
      <w:bookmarkStart w:name="_bookmark109" w:id="138"/>
      <w:bookmarkEnd w:id="138"/>
      <w:r>
        <w:rPr>
          <w:color w:val="127EAD"/>
          <w:sz w:val="14"/>
        </w:rPr>
      </w:r>
      <w:hyperlink r:id="rId133">
        <w:r>
          <w:rPr>
            <w:color w:val="127EAD"/>
            <w:sz w:val="14"/>
          </w:rPr>
          <w:t>drome. J Neurol Neurosurg Psychiatry. </w:t>
        </w:r>
        <w:r>
          <w:rPr>
            <w:color w:val="127EAD"/>
            <w:spacing w:val="5"/>
            <w:sz w:val="14"/>
          </w:rPr>
          <w:t> </w:t>
        </w:r>
        <w:r>
          <w:rPr>
            <w:color w:val="127EAD"/>
            <w:sz w:val="14"/>
          </w:rPr>
          <w:t>2009;80:339–44</w:t>
        </w:r>
      </w:hyperlink>
      <w:r>
        <w:rPr>
          <w:sz w:val="14"/>
        </w:rPr>
        <w:t>.</w:t>
      </w:r>
    </w:p>
    <w:p>
      <w:pPr>
        <w:pStyle w:val="ListParagraph"/>
        <w:numPr>
          <w:ilvl w:val="3"/>
          <w:numId w:val="3"/>
        </w:numPr>
        <w:tabs>
          <w:tab w:pos="484" w:val="left" w:leader="none"/>
        </w:tabs>
        <w:spacing w:line="247" w:lineRule="auto" w:before="0" w:after="0"/>
        <w:ind w:left="483" w:right="254" w:hanging="297"/>
        <w:jc w:val="both"/>
        <w:rPr>
          <w:sz w:val="14"/>
        </w:rPr>
      </w:pPr>
      <w:hyperlink r:id="rId134">
        <w:r>
          <w:rPr>
            <w:color w:val="127EAD"/>
            <w:sz w:val="14"/>
          </w:rPr>
          <w:t>Anderson</w:t>
        </w:r>
        <w:r>
          <w:rPr>
            <w:color w:val="127EAD"/>
            <w:spacing w:val="-19"/>
            <w:sz w:val="14"/>
          </w:rPr>
          <w:t> </w:t>
        </w:r>
        <w:r>
          <w:rPr>
            <w:color w:val="127EAD"/>
            <w:sz w:val="14"/>
          </w:rPr>
          <w:t>JW,</w:t>
        </w:r>
        <w:r>
          <w:rPr>
            <w:color w:val="127EAD"/>
            <w:spacing w:val="-19"/>
            <w:sz w:val="14"/>
          </w:rPr>
          <w:t> </w:t>
        </w:r>
        <w:r>
          <w:rPr>
            <w:color w:val="127EAD"/>
            <w:sz w:val="14"/>
          </w:rPr>
          <w:t>Lambert</w:t>
        </w:r>
        <w:r>
          <w:rPr>
            <w:color w:val="127EAD"/>
            <w:spacing w:val="-19"/>
            <w:sz w:val="14"/>
          </w:rPr>
          <w:t> </w:t>
        </w:r>
        <w:r>
          <w:rPr>
            <w:color w:val="127EAD"/>
            <w:sz w:val="14"/>
          </w:rPr>
          <w:t>EA,</w:t>
        </w:r>
        <w:r>
          <w:rPr>
            <w:color w:val="127EAD"/>
            <w:spacing w:val="-18"/>
            <w:sz w:val="14"/>
          </w:rPr>
          <w:t> </w:t>
        </w:r>
        <w:r>
          <w:rPr>
            <w:color w:val="127EAD"/>
            <w:sz w:val="14"/>
          </w:rPr>
          <w:t>Sari</w:t>
        </w:r>
        <w:r>
          <w:rPr>
            <w:color w:val="127EAD"/>
            <w:spacing w:val="-19"/>
            <w:sz w:val="14"/>
          </w:rPr>
          <w:t> </w:t>
        </w:r>
        <w:r>
          <w:rPr>
            <w:color w:val="127EAD"/>
            <w:sz w:val="14"/>
          </w:rPr>
          <w:t>CI,</w:t>
        </w:r>
        <w:r>
          <w:rPr>
            <w:color w:val="127EAD"/>
            <w:spacing w:val="-19"/>
            <w:sz w:val="14"/>
          </w:rPr>
          <w:t> </w:t>
        </w:r>
        <w:r>
          <w:rPr>
            <w:color w:val="127EAD"/>
            <w:sz w:val="14"/>
          </w:rPr>
          <w:t>Dawood</w:t>
        </w:r>
        <w:r>
          <w:rPr>
            <w:color w:val="127EAD"/>
            <w:spacing w:val="-19"/>
            <w:sz w:val="14"/>
          </w:rPr>
          <w:t> </w:t>
        </w:r>
        <w:r>
          <w:rPr>
            <w:color w:val="127EAD"/>
            <w:sz w:val="14"/>
          </w:rPr>
          <w:t>T,</w:t>
        </w:r>
        <w:r>
          <w:rPr>
            <w:color w:val="127EAD"/>
            <w:spacing w:val="-19"/>
            <w:sz w:val="14"/>
          </w:rPr>
          <w:t> </w:t>
        </w:r>
        <w:r>
          <w:rPr>
            <w:color w:val="127EAD"/>
            <w:sz w:val="14"/>
          </w:rPr>
          <w:t>Esler</w:t>
        </w:r>
        <w:r>
          <w:rPr>
            <w:color w:val="127EAD"/>
            <w:spacing w:val="-19"/>
            <w:sz w:val="14"/>
          </w:rPr>
          <w:t> </w:t>
        </w:r>
        <w:r>
          <w:rPr>
            <w:color w:val="127EAD"/>
            <w:sz w:val="14"/>
          </w:rPr>
          <w:t>MD,</w:t>
        </w:r>
        <w:r>
          <w:rPr>
            <w:color w:val="127EAD"/>
            <w:spacing w:val="-19"/>
            <w:sz w:val="14"/>
          </w:rPr>
          <w:t> </w:t>
        </w:r>
        <w:r>
          <w:rPr>
            <w:color w:val="127EAD"/>
            <w:sz w:val="14"/>
          </w:rPr>
          <w:t>Vaddadi</w:t>
        </w:r>
        <w:r>
          <w:rPr>
            <w:color w:val="127EAD"/>
            <w:spacing w:val="-19"/>
            <w:sz w:val="14"/>
          </w:rPr>
          <w:t> </w:t>
        </w:r>
        <w:r>
          <w:rPr>
            <w:color w:val="127EAD"/>
            <w:sz w:val="14"/>
          </w:rPr>
          <w:t>G,</w:t>
        </w:r>
        <w:r>
          <w:rPr>
            <w:color w:val="127EAD"/>
            <w:spacing w:val="-19"/>
            <w:sz w:val="14"/>
          </w:rPr>
          <w:t> </w:t>
        </w:r>
        <w:r>
          <w:rPr>
            <w:color w:val="127EAD"/>
            <w:sz w:val="14"/>
          </w:rPr>
          <w:t>et</w:t>
        </w:r>
        <w:r>
          <w:rPr>
            <w:color w:val="127EAD"/>
            <w:spacing w:val="-19"/>
            <w:sz w:val="14"/>
          </w:rPr>
          <w:t> </w:t>
        </w:r>
        <w:r>
          <w:rPr>
            <w:color w:val="127EAD"/>
            <w:spacing w:val="-2"/>
            <w:sz w:val="14"/>
          </w:rPr>
          <w:t>al.</w:t>
        </w:r>
      </w:hyperlink>
      <w:r>
        <w:rPr>
          <w:color w:val="127EAD"/>
          <w:spacing w:val="-2"/>
          <w:sz w:val="14"/>
        </w:rPr>
        <w:t> </w:t>
      </w:r>
      <w:hyperlink r:id="rId134">
        <w:r>
          <w:rPr>
            <w:color w:val="127EAD"/>
            <w:sz w:val="14"/>
          </w:rPr>
          <w:t>Cognitive function, health-related quality of life, and symptoms of</w:t>
        </w:r>
      </w:hyperlink>
      <w:r>
        <w:rPr>
          <w:color w:val="127EAD"/>
          <w:sz w:val="14"/>
        </w:rPr>
        <w:t> </w:t>
      </w:r>
      <w:hyperlink r:id="rId134">
        <w:r>
          <w:rPr>
            <w:color w:val="127EAD"/>
            <w:sz w:val="14"/>
          </w:rPr>
          <w:t>depression and anxiety sensitivity are impaired in patients with </w:t>
        </w:r>
        <w:r>
          <w:rPr>
            <w:color w:val="127EAD"/>
            <w:spacing w:val="-2"/>
            <w:sz w:val="14"/>
          </w:rPr>
          <w:t>the</w:t>
        </w:r>
      </w:hyperlink>
      <w:r>
        <w:rPr>
          <w:color w:val="127EAD"/>
          <w:spacing w:val="-2"/>
          <w:sz w:val="14"/>
        </w:rPr>
        <w:t> </w:t>
      </w:r>
      <w:hyperlink r:id="rId134">
        <w:r>
          <w:rPr>
            <w:color w:val="127EAD"/>
            <w:sz w:val="14"/>
          </w:rPr>
          <w:t>postural orthostatic tachycardia syndrome (POTS). Front Physiol.</w:t>
        </w:r>
      </w:hyperlink>
      <w:r>
        <w:rPr>
          <w:color w:val="127EAD"/>
          <w:sz w:val="14"/>
        </w:rPr>
        <w:t> </w:t>
      </w:r>
      <w:bookmarkStart w:name="_bookmark110" w:id="139"/>
      <w:bookmarkEnd w:id="139"/>
      <w:r>
        <w:rPr>
          <w:color w:val="127EAD"/>
          <w:sz w:val="14"/>
        </w:rPr>
      </w:r>
      <w:hyperlink r:id="rId134">
        <w:r>
          <w:rPr>
            <w:color w:val="127EAD"/>
            <w:sz w:val="14"/>
          </w:rPr>
          <w:t>2014;5:230</w:t>
        </w:r>
      </w:hyperlink>
      <w:r>
        <w:rPr>
          <w:sz w:val="14"/>
        </w:rPr>
        <w:t>.</w:t>
      </w:r>
    </w:p>
    <w:p>
      <w:pPr>
        <w:pStyle w:val="ListParagraph"/>
        <w:numPr>
          <w:ilvl w:val="3"/>
          <w:numId w:val="3"/>
        </w:numPr>
        <w:tabs>
          <w:tab w:pos="484" w:val="left" w:leader="none"/>
        </w:tabs>
        <w:spacing w:line="247" w:lineRule="auto" w:before="0" w:after="0"/>
        <w:ind w:left="483" w:right="252" w:hanging="297"/>
        <w:jc w:val="both"/>
        <w:rPr>
          <w:sz w:val="14"/>
        </w:rPr>
      </w:pPr>
      <w:hyperlink r:id="rId135">
        <w:r>
          <w:rPr>
            <w:color w:val="127EAD"/>
            <w:sz w:val="14"/>
          </w:rPr>
          <w:t>Moon J, Kim DY, Byun JI, Sunwoo JS, Lim JA, Kim TJ, et al. Orthostatic</w:t>
        </w:r>
      </w:hyperlink>
      <w:r>
        <w:rPr>
          <w:color w:val="127EAD"/>
          <w:sz w:val="14"/>
        </w:rPr>
        <w:t> </w:t>
      </w:r>
      <w:hyperlink r:id="rId135">
        <w:r>
          <w:rPr>
            <w:color w:val="127EAD"/>
            <w:sz w:val="14"/>
          </w:rPr>
          <w:t>intolerance symptoms are associated with depression and diminished</w:t>
        </w:r>
      </w:hyperlink>
      <w:r>
        <w:rPr>
          <w:color w:val="127EAD"/>
          <w:sz w:val="14"/>
        </w:rPr>
        <w:t> </w:t>
      </w:r>
      <w:hyperlink r:id="rId135">
        <w:r>
          <w:rPr>
            <w:color w:val="127EAD"/>
            <w:sz w:val="14"/>
          </w:rPr>
          <w:t>quality of life in patients with postural tachycardia syndrome. Health</w:t>
        </w:r>
      </w:hyperlink>
      <w:r>
        <w:rPr>
          <w:color w:val="127EAD"/>
          <w:sz w:val="14"/>
        </w:rPr>
        <w:t> </w:t>
      </w:r>
      <w:bookmarkStart w:name="_bookmark111" w:id="140"/>
      <w:bookmarkEnd w:id="140"/>
      <w:r>
        <w:rPr>
          <w:color w:val="127EAD"/>
          <w:sz w:val="14"/>
        </w:rPr>
      </w:r>
      <w:hyperlink r:id="rId135">
        <w:r>
          <w:rPr>
            <w:color w:val="127EAD"/>
            <w:sz w:val="14"/>
          </w:rPr>
          <w:t>Qual Life Outcomes.</w:t>
        </w:r>
        <w:r>
          <w:rPr>
            <w:color w:val="127EAD"/>
            <w:spacing w:val="24"/>
            <w:sz w:val="14"/>
          </w:rPr>
          <w:t> </w:t>
        </w:r>
        <w:r>
          <w:rPr>
            <w:color w:val="127EAD"/>
            <w:sz w:val="14"/>
          </w:rPr>
          <w:t>2016;14:144</w:t>
        </w:r>
      </w:hyperlink>
      <w:r>
        <w:rPr>
          <w:sz w:val="14"/>
        </w:rPr>
        <w:t>.</w:t>
      </w:r>
    </w:p>
    <w:p>
      <w:pPr>
        <w:pStyle w:val="ListParagraph"/>
        <w:numPr>
          <w:ilvl w:val="3"/>
          <w:numId w:val="3"/>
        </w:numPr>
        <w:tabs>
          <w:tab w:pos="484" w:val="left" w:leader="none"/>
        </w:tabs>
        <w:spacing w:line="247" w:lineRule="auto" w:before="1" w:after="0"/>
        <w:ind w:left="483" w:right="252" w:hanging="297"/>
        <w:jc w:val="both"/>
        <w:rPr>
          <w:sz w:val="14"/>
        </w:rPr>
      </w:pPr>
      <w:hyperlink r:id="rId136">
        <w:r>
          <w:rPr>
            <w:color w:val="127EAD"/>
            <w:sz w:val="14"/>
          </w:rPr>
          <w:t>McDonald C, Koshi S, Busner L, Kavi L, Newton JL. Postural tachy-</w:t>
        </w:r>
      </w:hyperlink>
      <w:r>
        <w:rPr>
          <w:color w:val="127EAD"/>
          <w:sz w:val="14"/>
        </w:rPr>
        <w:t> </w:t>
      </w:r>
      <w:hyperlink r:id="rId136">
        <w:r>
          <w:rPr>
            <w:color w:val="127EAD"/>
            <w:sz w:val="14"/>
          </w:rPr>
          <w:t>cardia syndrome is associated with significant symptoms and func-</w:t>
        </w:r>
      </w:hyperlink>
      <w:r>
        <w:rPr>
          <w:color w:val="127EAD"/>
          <w:sz w:val="14"/>
        </w:rPr>
        <w:t> </w:t>
      </w:r>
      <w:hyperlink r:id="rId136">
        <w:r>
          <w:rPr>
            <w:color w:val="127EAD"/>
            <w:sz w:val="14"/>
          </w:rPr>
          <w:t>tional impairment predominantly affecting young women: a UK</w:t>
        </w:r>
      </w:hyperlink>
      <w:r>
        <w:rPr>
          <w:color w:val="127EAD"/>
          <w:sz w:val="14"/>
        </w:rPr>
        <w:t> </w:t>
      </w:r>
      <w:bookmarkStart w:name="_bookmark112" w:id="141"/>
      <w:bookmarkEnd w:id="141"/>
      <w:r>
        <w:rPr>
          <w:color w:val="127EAD"/>
          <w:sz w:val="14"/>
        </w:rPr>
      </w:r>
      <w:hyperlink r:id="rId136">
        <w:r>
          <w:rPr>
            <w:color w:val="127EAD"/>
            <w:sz w:val="14"/>
          </w:rPr>
          <w:t>perspective. BMJ Open.</w:t>
        </w:r>
        <w:r>
          <w:rPr>
            <w:color w:val="127EAD"/>
            <w:spacing w:val="22"/>
            <w:sz w:val="14"/>
          </w:rPr>
          <w:t> </w:t>
        </w:r>
        <w:r>
          <w:rPr>
            <w:color w:val="127EAD"/>
            <w:sz w:val="14"/>
          </w:rPr>
          <w:t>2014;4:e004127</w:t>
        </w:r>
      </w:hyperlink>
      <w:r>
        <w:rPr>
          <w:sz w:val="14"/>
        </w:rPr>
        <w:t>.</w:t>
      </w:r>
    </w:p>
    <w:p>
      <w:pPr>
        <w:pStyle w:val="ListParagraph"/>
        <w:numPr>
          <w:ilvl w:val="3"/>
          <w:numId w:val="3"/>
        </w:numPr>
        <w:tabs>
          <w:tab w:pos="484" w:val="left" w:leader="none"/>
        </w:tabs>
        <w:spacing w:line="247" w:lineRule="auto" w:before="0" w:after="0"/>
        <w:ind w:left="483" w:right="252" w:hanging="297"/>
        <w:jc w:val="both"/>
        <w:rPr>
          <w:sz w:val="14"/>
        </w:rPr>
      </w:pPr>
      <w:hyperlink r:id="rId137">
        <w:r>
          <w:rPr>
            <w:color w:val="127EAD"/>
            <w:sz w:val="14"/>
          </w:rPr>
          <w:t>Fisher</w:t>
        </w:r>
        <w:r>
          <w:rPr>
            <w:color w:val="127EAD"/>
            <w:spacing w:val="-5"/>
            <w:sz w:val="14"/>
          </w:rPr>
          <w:t> </w:t>
        </w:r>
        <w:r>
          <w:rPr>
            <w:color w:val="127EAD"/>
            <w:sz w:val="14"/>
          </w:rPr>
          <w:t>CJ,</w:t>
        </w:r>
        <w:r>
          <w:rPr>
            <w:color w:val="127EAD"/>
            <w:spacing w:val="-6"/>
            <w:sz w:val="14"/>
          </w:rPr>
          <w:t> </w:t>
        </w:r>
        <w:r>
          <w:rPr>
            <w:color w:val="127EAD"/>
            <w:sz w:val="14"/>
          </w:rPr>
          <w:t>Katzan</w:t>
        </w:r>
        <w:r>
          <w:rPr>
            <w:color w:val="127EAD"/>
            <w:spacing w:val="-4"/>
            <w:sz w:val="14"/>
          </w:rPr>
          <w:t> </w:t>
        </w:r>
        <w:r>
          <w:rPr>
            <w:color w:val="127EAD"/>
            <w:sz w:val="14"/>
          </w:rPr>
          <w:t>I,</w:t>
        </w:r>
        <w:r>
          <w:rPr>
            <w:color w:val="127EAD"/>
            <w:spacing w:val="-6"/>
            <w:sz w:val="14"/>
          </w:rPr>
          <w:t> </w:t>
        </w:r>
        <w:r>
          <w:rPr>
            <w:color w:val="127EAD"/>
            <w:sz w:val="14"/>
          </w:rPr>
          <w:t>Heinberg</w:t>
        </w:r>
        <w:r>
          <w:rPr>
            <w:color w:val="127EAD"/>
            <w:spacing w:val="-4"/>
            <w:sz w:val="14"/>
          </w:rPr>
          <w:t> </w:t>
        </w:r>
        <w:r>
          <w:rPr>
            <w:color w:val="127EAD"/>
            <w:sz w:val="14"/>
          </w:rPr>
          <w:t>LJ,</w:t>
        </w:r>
        <w:r>
          <w:rPr>
            <w:color w:val="127EAD"/>
            <w:spacing w:val="-6"/>
            <w:sz w:val="14"/>
          </w:rPr>
          <w:t> </w:t>
        </w:r>
        <w:r>
          <w:rPr>
            <w:color w:val="127EAD"/>
            <w:sz w:val="14"/>
          </w:rPr>
          <w:t>Schuster</w:t>
        </w:r>
        <w:r>
          <w:rPr>
            <w:color w:val="127EAD"/>
            <w:spacing w:val="-4"/>
            <w:sz w:val="14"/>
          </w:rPr>
          <w:t> </w:t>
        </w:r>
        <w:r>
          <w:rPr>
            <w:color w:val="127EAD"/>
            <w:sz w:val="14"/>
          </w:rPr>
          <w:t>AT,</w:t>
        </w:r>
        <w:r>
          <w:rPr>
            <w:color w:val="127EAD"/>
            <w:spacing w:val="-6"/>
            <w:sz w:val="14"/>
          </w:rPr>
          <w:t> </w:t>
        </w:r>
        <w:r>
          <w:rPr>
            <w:color w:val="127EAD"/>
            <w:sz w:val="14"/>
          </w:rPr>
          <w:t>Thompson</w:t>
        </w:r>
        <w:r>
          <w:rPr>
            <w:color w:val="127EAD"/>
            <w:spacing w:val="-5"/>
            <w:sz w:val="14"/>
          </w:rPr>
          <w:t> </w:t>
        </w:r>
        <w:r>
          <w:rPr>
            <w:color w:val="127EAD"/>
            <w:sz w:val="14"/>
          </w:rPr>
          <w:t>NR,</w:t>
        </w:r>
        <w:r>
          <w:rPr>
            <w:color w:val="127EAD"/>
            <w:spacing w:val="-5"/>
            <w:sz w:val="14"/>
          </w:rPr>
          <w:t> </w:t>
        </w:r>
        <w:r>
          <w:rPr>
            <w:color w:val="127EAD"/>
            <w:sz w:val="14"/>
          </w:rPr>
          <w:t>Wilson</w:t>
        </w:r>
        <w:r>
          <w:rPr>
            <w:color w:val="127EAD"/>
            <w:spacing w:val="-5"/>
            <w:sz w:val="14"/>
          </w:rPr>
          <w:t> </w:t>
        </w:r>
        <w:r>
          <w:rPr>
            <w:color w:val="127EAD"/>
            <w:sz w:val="14"/>
          </w:rPr>
          <w:t>R.</w:t>
        </w:r>
      </w:hyperlink>
      <w:r>
        <w:rPr>
          <w:color w:val="127EAD"/>
          <w:sz w:val="14"/>
        </w:rPr>
        <w:t> </w:t>
      </w:r>
      <w:hyperlink r:id="rId137">
        <w:r>
          <w:rPr>
            <w:color w:val="127EAD"/>
            <w:sz w:val="14"/>
          </w:rPr>
          <w:t>Psychological correlates of patients with postural orthostatic tachy-</w:t>
        </w:r>
      </w:hyperlink>
      <w:r>
        <w:rPr>
          <w:color w:val="127EAD"/>
          <w:sz w:val="14"/>
        </w:rPr>
        <w:t> </w:t>
      </w:r>
      <w:bookmarkStart w:name="_bookmark113" w:id="142"/>
      <w:bookmarkEnd w:id="142"/>
      <w:r>
        <w:rPr>
          <w:color w:val="127EAD"/>
          <w:sz w:val="14"/>
        </w:rPr>
      </w:r>
      <w:hyperlink r:id="rId137">
        <w:r>
          <w:rPr>
            <w:color w:val="127EAD"/>
            <w:sz w:val="14"/>
          </w:rPr>
          <w:t>cardia syndrome (POTS). Auton Neurosci. </w:t>
        </w:r>
        <w:r>
          <w:rPr>
            <w:color w:val="127EAD"/>
            <w:spacing w:val="4"/>
            <w:sz w:val="14"/>
          </w:rPr>
          <w:t> </w:t>
        </w:r>
        <w:r>
          <w:rPr>
            <w:color w:val="127EAD"/>
            <w:sz w:val="14"/>
          </w:rPr>
          <w:t>2020;227:102690</w:t>
        </w:r>
      </w:hyperlink>
      <w:r>
        <w:rPr>
          <w:sz w:val="14"/>
        </w:rPr>
        <w:t>.</w:t>
      </w:r>
    </w:p>
    <w:p>
      <w:pPr>
        <w:pStyle w:val="ListParagraph"/>
        <w:numPr>
          <w:ilvl w:val="3"/>
          <w:numId w:val="3"/>
        </w:numPr>
        <w:tabs>
          <w:tab w:pos="484" w:val="left" w:leader="none"/>
        </w:tabs>
        <w:spacing w:line="247" w:lineRule="auto" w:before="0" w:after="0"/>
        <w:ind w:left="483" w:right="252" w:hanging="366"/>
        <w:jc w:val="both"/>
        <w:rPr>
          <w:sz w:val="14"/>
        </w:rPr>
      </w:pPr>
      <w:hyperlink r:id="rId138">
        <w:r>
          <w:rPr>
            <w:color w:val="127EAD"/>
            <w:sz w:val="14"/>
          </w:rPr>
          <w:t>Benrud-Larson LM, Dewar MS, Sandroni P, Rummans TA,</w:t>
        </w:r>
      </w:hyperlink>
      <w:r>
        <w:rPr>
          <w:color w:val="127EAD"/>
          <w:sz w:val="14"/>
        </w:rPr>
        <w:t> </w:t>
      </w:r>
      <w:hyperlink r:id="rId138">
        <w:r>
          <w:rPr>
            <w:color w:val="127EAD"/>
            <w:sz w:val="14"/>
          </w:rPr>
          <w:t>Haythornthwaite JA, Low PA. Quality of life in patients with postural</w:t>
        </w:r>
      </w:hyperlink>
      <w:r>
        <w:rPr>
          <w:color w:val="127EAD"/>
          <w:sz w:val="14"/>
        </w:rPr>
        <w:t> </w:t>
      </w:r>
      <w:bookmarkStart w:name="_bookmark114" w:id="143"/>
      <w:bookmarkEnd w:id="143"/>
      <w:r>
        <w:rPr>
          <w:color w:val="127EAD"/>
          <w:sz w:val="14"/>
        </w:rPr>
      </w:r>
      <w:hyperlink r:id="rId138">
        <w:r>
          <w:rPr>
            <w:color w:val="127EAD"/>
            <w:sz w:val="14"/>
          </w:rPr>
          <w:t>tachycardia syndrome. Mayo Clin Proc. </w:t>
        </w:r>
        <w:r>
          <w:rPr>
            <w:color w:val="127EAD"/>
            <w:spacing w:val="8"/>
            <w:sz w:val="14"/>
          </w:rPr>
          <w:t> </w:t>
        </w:r>
        <w:r>
          <w:rPr>
            <w:color w:val="127EAD"/>
            <w:sz w:val="14"/>
          </w:rPr>
          <w:t>2002;77:531–7</w:t>
        </w:r>
      </w:hyperlink>
      <w:r>
        <w:rPr>
          <w:sz w:val="14"/>
        </w:rPr>
        <w:t>.</w:t>
      </w:r>
    </w:p>
    <w:p>
      <w:pPr>
        <w:pStyle w:val="ListParagraph"/>
        <w:numPr>
          <w:ilvl w:val="3"/>
          <w:numId w:val="3"/>
        </w:numPr>
        <w:tabs>
          <w:tab w:pos="484" w:val="left" w:leader="none"/>
        </w:tabs>
        <w:spacing w:line="247" w:lineRule="auto" w:before="0" w:after="0"/>
        <w:ind w:left="483" w:right="252" w:hanging="366"/>
        <w:jc w:val="both"/>
        <w:rPr>
          <w:sz w:val="14"/>
        </w:rPr>
      </w:pPr>
      <w:hyperlink r:id="rId139">
        <w:r>
          <w:rPr>
            <w:color w:val="127EAD"/>
            <w:sz w:val="14"/>
          </w:rPr>
          <w:t>Masuki S, Eisenach JH, Johnson CP, Dietz NM, Benrud-Larson LM,</w:t>
        </w:r>
      </w:hyperlink>
      <w:r>
        <w:rPr>
          <w:color w:val="127EAD"/>
          <w:sz w:val="14"/>
        </w:rPr>
        <w:t> </w:t>
      </w:r>
      <w:hyperlink r:id="rId139">
        <w:r>
          <w:rPr>
            <w:color w:val="127EAD"/>
            <w:sz w:val="14"/>
          </w:rPr>
          <w:t>Schrage WG, et al. Excessive heart rate response to orthostatic stress in</w:t>
        </w:r>
      </w:hyperlink>
      <w:r>
        <w:rPr>
          <w:color w:val="127EAD"/>
          <w:sz w:val="14"/>
        </w:rPr>
        <w:t> </w:t>
      </w:r>
      <w:hyperlink r:id="rId139">
        <w:r>
          <w:rPr>
            <w:color w:val="127EAD"/>
            <w:sz w:val="14"/>
          </w:rPr>
          <w:t>postural tachycardia syndrome is not caused by anxiety. J Appl</w:t>
        </w:r>
        <w:r>
          <w:rPr>
            <w:color w:val="127EAD"/>
            <w:spacing w:val="-7"/>
            <w:sz w:val="14"/>
          </w:rPr>
          <w:t> </w:t>
        </w:r>
        <w:r>
          <w:rPr>
            <w:color w:val="127EAD"/>
            <w:sz w:val="14"/>
          </w:rPr>
          <w:t>Physiol</w:t>
        </w:r>
      </w:hyperlink>
      <w:r>
        <w:rPr>
          <w:color w:val="127EAD"/>
          <w:sz w:val="14"/>
        </w:rPr>
        <w:t> </w:t>
      </w:r>
      <w:bookmarkStart w:name="_bookmark115" w:id="144"/>
      <w:bookmarkEnd w:id="144"/>
      <w:r>
        <w:rPr>
          <w:color w:val="127EAD"/>
          <w:sz w:val="14"/>
        </w:rPr>
      </w:r>
      <w:hyperlink r:id="rId139">
        <w:r>
          <w:rPr>
            <w:color w:val="127EAD"/>
            <w:sz w:val="14"/>
          </w:rPr>
          <w:t>(1985).</w:t>
        </w:r>
        <w:r>
          <w:rPr>
            <w:color w:val="127EAD"/>
            <w:spacing w:val="4"/>
            <w:sz w:val="14"/>
          </w:rPr>
          <w:t> </w:t>
        </w:r>
        <w:r>
          <w:rPr>
            <w:color w:val="127EAD"/>
            <w:sz w:val="14"/>
          </w:rPr>
          <w:t>2007;102:896–903</w:t>
        </w:r>
      </w:hyperlink>
      <w:r>
        <w:rPr>
          <w:sz w:val="14"/>
        </w:rPr>
        <w:t>.</w:t>
      </w:r>
    </w:p>
    <w:p>
      <w:pPr>
        <w:pStyle w:val="ListParagraph"/>
        <w:numPr>
          <w:ilvl w:val="3"/>
          <w:numId w:val="3"/>
        </w:numPr>
        <w:tabs>
          <w:tab w:pos="484" w:val="left" w:leader="none"/>
        </w:tabs>
        <w:spacing w:line="247" w:lineRule="auto" w:before="0" w:after="0"/>
        <w:ind w:left="483" w:right="250" w:hanging="366"/>
        <w:jc w:val="both"/>
        <w:rPr>
          <w:sz w:val="14"/>
        </w:rPr>
      </w:pPr>
      <w:hyperlink r:id="rId140">
        <w:r>
          <w:rPr>
            <w:color w:val="127EAD"/>
            <w:sz w:val="14"/>
          </w:rPr>
          <w:t>Khurana RK. Experimental induction of panic-like symptoms  in</w:t>
        </w:r>
      </w:hyperlink>
      <w:r>
        <w:rPr>
          <w:color w:val="127EAD"/>
          <w:sz w:val="14"/>
        </w:rPr>
        <w:t> </w:t>
      </w:r>
      <w:hyperlink r:id="rId140">
        <w:r>
          <w:rPr>
            <w:color w:val="127EAD"/>
            <w:sz w:val="14"/>
          </w:rPr>
          <w:t>patients with postural tachycardia syndrome. Clin Auton Res.</w:t>
        </w:r>
      </w:hyperlink>
      <w:r>
        <w:rPr>
          <w:color w:val="127EAD"/>
          <w:sz w:val="14"/>
        </w:rPr>
        <w:t> </w:t>
      </w:r>
      <w:hyperlink r:id="rId140">
        <w:r>
          <w:rPr>
            <w:color w:val="127EAD"/>
            <w:sz w:val="14"/>
          </w:rPr>
          <w:t>2006;16:371–7</w:t>
        </w:r>
      </w:hyperlink>
      <w:r>
        <w:rPr>
          <w:sz w:val="14"/>
        </w:rPr>
        <w:t>.</w:t>
      </w:r>
    </w:p>
    <w:p>
      <w:pPr>
        <w:pStyle w:val="ListParagraph"/>
        <w:numPr>
          <w:ilvl w:val="3"/>
          <w:numId w:val="3"/>
        </w:numPr>
        <w:tabs>
          <w:tab w:pos="485" w:val="left" w:leader="none"/>
        </w:tabs>
        <w:spacing w:line="247" w:lineRule="auto" w:before="95" w:after="0"/>
        <w:ind w:left="484" w:right="104" w:hanging="367"/>
        <w:jc w:val="both"/>
        <w:rPr>
          <w:sz w:val="14"/>
        </w:rPr>
      </w:pPr>
      <w:bookmarkStart w:name="_bookmark116" w:id="145"/>
      <w:bookmarkEnd w:id="145"/>
      <w:r>
        <w:rPr/>
      </w:r>
      <w:hyperlink r:id="rId141">
        <w:bookmarkStart w:name="_bookmark116" w:id="146"/>
        <w:bookmarkEnd w:id="146"/>
        <w:r>
          <w:rPr>
            <w:color w:val="127EAD"/>
            <w:w w:val="99"/>
            <w:sz w:val="14"/>
          </w:rPr>
          <w:br w:type="column"/>
        </w:r>
        <w:r>
          <w:rPr>
            <w:color w:val="127EAD"/>
            <w:sz w:val="14"/>
          </w:rPr>
          <w:t>Owens AP, Low DA, Iodice V, Critchley HD, Mathias CJ. The genesis</w:t>
        </w:r>
      </w:hyperlink>
      <w:r>
        <w:rPr>
          <w:color w:val="127EAD"/>
          <w:sz w:val="14"/>
        </w:rPr>
        <w:t> </w:t>
      </w:r>
      <w:hyperlink r:id="rId141">
        <w:r>
          <w:rPr>
            <w:color w:val="127EAD"/>
            <w:sz w:val="14"/>
          </w:rPr>
          <w:t>and presentation of anxiety in disorders of autonomic overexcitation.</w:t>
        </w:r>
      </w:hyperlink>
      <w:r>
        <w:rPr>
          <w:color w:val="127EAD"/>
          <w:sz w:val="14"/>
        </w:rPr>
        <w:t> </w:t>
      </w:r>
      <w:bookmarkStart w:name="_bookmark117" w:id="147"/>
      <w:bookmarkEnd w:id="147"/>
      <w:r>
        <w:rPr>
          <w:color w:val="127EAD"/>
          <w:sz w:val="14"/>
        </w:rPr>
      </w:r>
      <w:hyperlink r:id="rId141">
        <w:r>
          <w:rPr>
            <w:color w:val="127EAD"/>
            <w:sz w:val="14"/>
          </w:rPr>
          <w:t>Auton Neurosci.</w:t>
        </w:r>
        <w:r>
          <w:rPr>
            <w:color w:val="127EAD"/>
            <w:spacing w:val="14"/>
            <w:sz w:val="14"/>
          </w:rPr>
          <w:t> </w:t>
        </w:r>
        <w:r>
          <w:rPr>
            <w:color w:val="127EAD"/>
            <w:sz w:val="14"/>
          </w:rPr>
          <w:t>2017;203:81–7</w:t>
        </w:r>
      </w:hyperlink>
      <w:r>
        <w:rPr>
          <w:sz w:val="14"/>
        </w:rPr>
        <w:t>.</w:t>
      </w:r>
    </w:p>
    <w:p>
      <w:pPr>
        <w:pStyle w:val="ListParagraph"/>
        <w:numPr>
          <w:ilvl w:val="3"/>
          <w:numId w:val="3"/>
        </w:numPr>
        <w:tabs>
          <w:tab w:pos="485" w:val="left" w:leader="none"/>
        </w:tabs>
        <w:spacing w:line="247" w:lineRule="auto" w:before="0" w:after="0"/>
        <w:ind w:left="484" w:right="105" w:hanging="367"/>
        <w:jc w:val="both"/>
        <w:rPr>
          <w:sz w:val="14"/>
        </w:rPr>
      </w:pPr>
      <w:hyperlink r:id="rId142">
        <w:r>
          <w:rPr>
            <w:color w:val="127EAD"/>
            <w:sz w:val="14"/>
          </w:rPr>
          <w:t>Pederson CL, Brook JB. Health-related quality of life and suicide risk in</w:t>
        </w:r>
      </w:hyperlink>
      <w:r>
        <w:rPr>
          <w:color w:val="127EAD"/>
          <w:sz w:val="14"/>
        </w:rPr>
        <w:t> </w:t>
      </w:r>
      <w:bookmarkStart w:name="_bookmark118" w:id="148"/>
      <w:bookmarkEnd w:id="148"/>
      <w:r>
        <w:rPr>
          <w:color w:val="127EAD"/>
          <w:sz w:val="14"/>
        </w:rPr>
      </w:r>
      <w:hyperlink r:id="rId142">
        <w:r>
          <w:rPr>
            <w:color w:val="127EAD"/>
            <w:sz w:val="14"/>
          </w:rPr>
          <w:t>postural tachycardia syndrome. Clin Auton Res. </w:t>
        </w:r>
        <w:r>
          <w:rPr>
            <w:color w:val="127EAD"/>
            <w:spacing w:val="15"/>
            <w:sz w:val="14"/>
          </w:rPr>
          <w:t> </w:t>
        </w:r>
        <w:r>
          <w:rPr>
            <w:color w:val="127EAD"/>
            <w:sz w:val="14"/>
          </w:rPr>
          <w:t>2017;27:75–81</w:t>
        </w:r>
      </w:hyperlink>
      <w:r>
        <w:rPr>
          <w:sz w:val="14"/>
        </w:rPr>
        <w:t>.</w:t>
      </w:r>
    </w:p>
    <w:p>
      <w:pPr>
        <w:pStyle w:val="ListParagraph"/>
        <w:numPr>
          <w:ilvl w:val="3"/>
          <w:numId w:val="3"/>
        </w:numPr>
        <w:tabs>
          <w:tab w:pos="485" w:val="left" w:leader="none"/>
        </w:tabs>
        <w:spacing w:line="247" w:lineRule="auto" w:before="0" w:after="0"/>
        <w:ind w:left="484" w:right="104" w:hanging="367"/>
        <w:jc w:val="both"/>
        <w:rPr>
          <w:sz w:val="14"/>
        </w:rPr>
      </w:pPr>
      <w:hyperlink r:id="rId143">
        <w:r>
          <w:rPr>
            <w:color w:val="127EAD"/>
            <w:sz w:val="14"/>
          </w:rPr>
          <w:t>Mar PL, Raj V, Black BK, Biaggioni I, Shibao CA, Paranjape SY, et al.</w:t>
        </w:r>
      </w:hyperlink>
      <w:r>
        <w:rPr>
          <w:color w:val="127EAD"/>
          <w:sz w:val="14"/>
        </w:rPr>
        <w:t> </w:t>
      </w:r>
      <w:hyperlink r:id="rId143">
        <w:r>
          <w:rPr>
            <w:color w:val="127EAD"/>
            <w:sz w:val="14"/>
          </w:rPr>
          <w:t>Acute hemodynamic effects of a selective serotonin reuptake inhibitor</w:t>
        </w:r>
      </w:hyperlink>
      <w:r>
        <w:rPr>
          <w:color w:val="127EAD"/>
          <w:sz w:val="14"/>
        </w:rPr>
        <w:t> </w:t>
      </w:r>
      <w:hyperlink r:id="rId143">
        <w:r>
          <w:rPr>
            <w:color w:val="127EAD"/>
            <w:sz w:val="14"/>
          </w:rPr>
          <w:t>in  postural  tachycardia  syndrome:  a  randomized,  crossover  trial.</w:t>
        </w:r>
      </w:hyperlink>
      <w:r>
        <w:rPr>
          <w:color w:val="127EAD"/>
          <w:sz w:val="14"/>
        </w:rPr>
        <w:t>     </w:t>
      </w:r>
      <w:bookmarkStart w:name="_bookmark119" w:id="149"/>
      <w:bookmarkEnd w:id="149"/>
      <w:r>
        <w:rPr>
          <w:color w:val="127EAD"/>
          <w:sz w:val="14"/>
        </w:rPr>
      </w:r>
      <w:hyperlink r:id="rId143">
        <w:r>
          <w:rPr>
            <w:color w:val="127EAD"/>
            <w:sz w:val="14"/>
          </w:rPr>
          <w:t>J Psychopharmacol.</w:t>
        </w:r>
        <w:r>
          <w:rPr>
            <w:color w:val="127EAD"/>
            <w:spacing w:val="13"/>
            <w:sz w:val="14"/>
          </w:rPr>
          <w:t> </w:t>
        </w:r>
        <w:r>
          <w:rPr>
            <w:color w:val="127EAD"/>
            <w:sz w:val="14"/>
          </w:rPr>
          <w:t>2014;28:155–61</w:t>
        </w:r>
      </w:hyperlink>
      <w:r>
        <w:rPr>
          <w:sz w:val="14"/>
        </w:rPr>
        <w:t>.</w:t>
      </w:r>
    </w:p>
    <w:p>
      <w:pPr>
        <w:pStyle w:val="ListParagraph"/>
        <w:numPr>
          <w:ilvl w:val="3"/>
          <w:numId w:val="3"/>
        </w:numPr>
        <w:tabs>
          <w:tab w:pos="485" w:val="left" w:leader="none"/>
        </w:tabs>
        <w:spacing w:line="247" w:lineRule="auto" w:before="0" w:after="0"/>
        <w:ind w:left="484" w:right="104" w:hanging="367"/>
        <w:jc w:val="both"/>
        <w:rPr>
          <w:sz w:val="14"/>
        </w:rPr>
      </w:pPr>
      <w:hyperlink r:id="rId144">
        <w:r>
          <w:rPr>
            <w:color w:val="127EAD"/>
            <w:sz w:val="14"/>
          </w:rPr>
          <w:t>Vyas R, Nesheiwat Z, Ruzieh M, Ammari Z, Al-Sarie M, Grubb B.</w:t>
        </w:r>
      </w:hyperlink>
      <w:r>
        <w:rPr>
          <w:color w:val="127EAD"/>
          <w:sz w:val="14"/>
        </w:rPr>
        <w:t> </w:t>
      </w:r>
      <w:hyperlink r:id="rId144">
        <w:r>
          <w:rPr>
            <w:color w:val="127EAD"/>
            <w:sz w:val="14"/>
          </w:rPr>
          <w:t>Bupropion</w:t>
        </w:r>
        <w:r>
          <w:rPr>
            <w:color w:val="127EAD"/>
            <w:spacing w:val="-13"/>
            <w:sz w:val="14"/>
          </w:rPr>
          <w:t> </w:t>
        </w:r>
        <w:r>
          <w:rPr>
            <w:color w:val="127EAD"/>
            <w:sz w:val="14"/>
          </w:rPr>
          <w:t>in</w:t>
        </w:r>
        <w:r>
          <w:rPr>
            <w:color w:val="127EAD"/>
            <w:spacing w:val="-12"/>
            <w:sz w:val="14"/>
          </w:rPr>
          <w:t> </w:t>
        </w:r>
        <w:r>
          <w:rPr>
            <w:color w:val="127EAD"/>
            <w:sz w:val="14"/>
          </w:rPr>
          <w:t>the</w:t>
        </w:r>
        <w:r>
          <w:rPr>
            <w:color w:val="127EAD"/>
            <w:spacing w:val="-13"/>
            <w:sz w:val="14"/>
          </w:rPr>
          <w:t> </w:t>
        </w:r>
        <w:r>
          <w:rPr>
            <w:color w:val="127EAD"/>
            <w:sz w:val="14"/>
          </w:rPr>
          <w:t>treatment</w:t>
        </w:r>
        <w:r>
          <w:rPr>
            <w:color w:val="127EAD"/>
            <w:spacing w:val="-12"/>
            <w:sz w:val="14"/>
          </w:rPr>
          <w:t> </w:t>
        </w:r>
        <w:r>
          <w:rPr>
            <w:color w:val="127EAD"/>
            <w:sz w:val="14"/>
          </w:rPr>
          <w:t>of</w:t>
        </w:r>
        <w:r>
          <w:rPr>
            <w:color w:val="127EAD"/>
            <w:spacing w:val="-13"/>
            <w:sz w:val="14"/>
          </w:rPr>
          <w:t> </w:t>
        </w:r>
        <w:r>
          <w:rPr>
            <w:color w:val="127EAD"/>
            <w:sz w:val="14"/>
          </w:rPr>
          <w:t>postural</w:t>
        </w:r>
        <w:r>
          <w:rPr>
            <w:color w:val="127EAD"/>
            <w:spacing w:val="-13"/>
            <w:sz w:val="14"/>
          </w:rPr>
          <w:t> </w:t>
        </w:r>
        <w:r>
          <w:rPr>
            <w:color w:val="127EAD"/>
            <w:sz w:val="14"/>
          </w:rPr>
          <w:t>orthostatic</w:t>
        </w:r>
        <w:r>
          <w:rPr>
            <w:color w:val="127EAD"/>
            <w:spacing w:val="-12"/>
            <w:sz w:val="14"/>
          </w:rPr>
          <w:t> </w:t>
        </w:r>
        <w:r>
          <w:rPr>
            <w:color w:val="127EAD"/>
            <w:sz w:val="14"/>
          </w:rPr>
          <w:t>tachycardia</w:t>
        </w:r>
        <w:r>
          <w:rPr>
            <w:color w:val="127EAD"/>
            <w:spacing w:val="-13"/>
            <w:sz w:val="14"/>
          </w:rPr>
          <w:t> </w:t>
        </w:r>
        <w:r>
          <w:rPr>
            <w:color w:val="127EAD"/>
            <w:sz w:val="14"/>
          </w:rPr>
          <w:t>syndrome</w:t>
        </w:r>
      </w:hyperlink>
      <w:r>
        <w:rPr>
          <w:color w:val="127EAD"/>
          <w:sz w:val="14"/>
        </w:rPr>
        <w:t> </w:t>
      </w:r>
      <w:bookmarkStart w:name="_bookmark120" w:id="150"/>
      <w:bookmarkEnd w:id="150"/>
      <w:r>
        <w:rPr>
          <w:color w:val="127EAD"/>
          <w:sz w:val="14"/>
        </w:rPr>
      </w:r>
      <w:hyperlink r:id="rId144">
        <w:r>
          <w:rPr>
            <w:color w:val="127EAD"/>
            <w:sz w:val="14"/>
          </w:rPr>
          <w:t>(POTS): a single-center experience. J Investig Med.</w:t>
        </w:r>
        <w:r>
          <w:rPr>
            <w:color w:val="127EAD"/>
            <w:spacing w:val="-20"/>
            <w:sz w:val="14"/>
          </w:rPr>
          <w:t> </w:t>
        </w:r>
        <w:r>
          <w:rPr>
            <w:color w:val="127EAD"/>
            <w:sz w:val="14"/>
          </w:rPr>
          <w:t>2020;68:1156–8</w:t>
        </w:r>
      </w:hyperlink>
      <w:r>
        <w:rPr>
          <w:sz w:val="14"/>
        </w:rPr>
        <w:t>.</w:t>
      </w:r>
    </w:p>
    <w:p>
      <w:pPr>
        <w:pStyle w:val="ListParagraph"/>
        <w:numPr>
          <w:ilvl w:val="3"/>
          <w:numId w:val="3"/>
        </w:numPr>
        <w:tabs>
          <w:tab w:pos="485" w:val="left" w:leader="none"/>
        </w:tabs>
        <w:spacing w:line="247" w:lineRule="auto" w:before="1" w:after="0"/>
        <w:ind w:left="484" w:right="104" w:hanging="367"/>
        <w:jc w:val="both"/>
        <w:rPr>
          <w:sz w:val="14"/>
        </w:rPr>
      </w:pPr>
      <w:hyperlink r:id="rId145">
        <w:r>
          <w:rPr>
            <w:color w:val="127EAD"/>
            <w:sz w:val="14"/>
          </w:rPr>
          <w:t>Green EA, Raj V, Shibao CA, Biaggioni I, Black BK, Dupont WD, et al.</w:t>
        </w:r>
      </w:hyperlink>
      <w:r>
        <w:rPr>
          <w:color w:val="127EAD"/>
          <w:sz w:val="14"/>
        </w:rPr>
        <w:t> </w:t>
      </w:r>
      <w:hyperlink r:id="rId145">
        <w:r>
          <w:rPr>
            <w:color w:val="127EAD"/>
            <w:sz w:val="14"/>
          </w:rPr>
          <w:t>Effects of norepinephrine reuptake inhibition on postural tachycardia</w:t>
        </w:r>
      </w:hyperlink>
      <w:r>
        <w:rPr>
          <w:color w:val="127EAD"/>
          <w:sz w:val="14"/>
        </w:rPr>
        <w:t> </w:t>
      </w:r>
      <w:bookmarkStart w:name="_bookmark121" w:id="151"/>
      <w:bookmarkEnd w:id="151"/>
      <w:r>
        <w:rPr>
          <w:color w:val="127EAD"/>
          <w:sz w:val="14"/>
        </w:rPr>
      </w:r>
      <w:hyperlink r:id="rId145">
        <w:r>
          <w:rPr>
            <w:color w:val="127EAD"/>
            <w:sz w:val="14"/>
          </w:rPr>
          <w:t>syndrome. J Am Heart Assoc. </w:t>
        </w:r>
        <w:r>
          <w:rPr>
            <w:color w:val="127EAD"/>
            <w:spacing w:val="7"/>
            <w:sz w:val="14"/>
          </w:rPr>
          <w:t> </w:t>
        </w:r>
        <w:r>
          <w:rPr>
            <w:color w:val="127EAD"/>
            <w:sz w:val="14"/>
          </w:rPr>
          <w:t>2013;2:e000395</w:t>
        </w:r>
      </w:hyperlink>
      <w:r>
        <w:rPr>
          <w:sz w:val="14"/>
        </w:rPr>
        <w:t>.</w:t>
      </w:r>
    </w:p>
    <w:p>
      <w:pPr>
        <w:pStyle w:val="ListParagraph"/>
        <w:numPr>
          <w:ilvl w:val="3"/>
          <w:numId w:val="3"/>
        </w:numPr>
        <w:tabs>
          <w:tab w:pos="485" w:val="left" w:leader="none"/>
        </w:tabs>
        <w:spacing w:line="247" w:lineRule="auto" w:before="0" w:after="0"/>
        <w:ind w:left="484" w:right="105" w:hanging="367"/>
        <w:jc w:val="both"/>
        <w:rPr>
          <w:sz w:val="14"/>
        </w:rPr>
      </w:pPr>
      <w:hyperlink r:id="rId146">
        <w:r>
          <w:rPr>
            <w:color w:val="127EAD"/>
            <w:sz w:val="14"/>
          </w:rPr>
          <w:t>Raj V, Opie M, Arnold AC. Cognitive and psychological issues in</w:t>
        </w:r>
      </w:hyperlink>
      <w:r>
        <w:rPr>
          <w:color w:val="127EAD"/>
          <w:sz w:val="14"/>
        </w:rPr>
        <w:t> </w:t>
      </w:r>
      <w:bookmarkStart w:name="_bookmark122" w:id="152"/>
      <w:bookmarkEnd w:id="152"/>
      <w:r>
        <w:rPr>
          <w:color w:val="127EAD"/>
          <w:sz w:val="14"/>
        </w:rPr>
      </w:r>
      <w:hyperlink r:id="rId146">
        <w:r>
          <w:rPr>
            <w:color w:val="127EAD"/>
            <w:sz w:val="14"/>
          </w:rPr>
          <w:t>postural tachycardia syndrome. Auton Neurosci. </w:t>
        </w:r>
        <w:r>
          <w:rPr>
            <w:color w:val="127EAD"/>
            <w:spacing w:val="4"/>
            <w:sz w:val="14"/>
          </w:rPr>
          <w:t> </w:t>
        </w:r>
        <w:r>
          <w:rPr>
            <w:color w:val="127EAD"/>
            <w:sz w:val="14"/>
          </w:rPr>
          <w:t>2018;215:46–55</w:t>
        </w:r>
      </w:hyperlink>
      <w:r>
        <w:rPr>
          <w:sz w:val="14"/>
        </w:rPr>
        <w:t>.</w:t>
      </w:r>
    </w:p>
    <w:p>
      <w:pPr>
        <w:pStyle w:val="ListParagraph"/>
        <w:numPr>
          <w:ilvl w:val="3"/>
          <w:numId w:val="3"/>
        </w:numPr>
        <w:tabs>
          <w:tab w:pos="485" w:val="left" w:leader="none"/>
        </w:tabs>
        <w:spacing w:line="247" w:lineRule="auto" w:before="0" w:after="0"/>
        <w:ind w:left="484" w:right="104" w:hanging="367"/>
        <w:jc w:val="both"/>
        <w:rPr>
          <w:sz w:val="14"/>
        </w:rPr>
      </w:pPr>
      <w:hyperlink r:id="rId147">
        <w:r>
          <w:rPr>
            <w:color w:val="127EAD"/>
            <w:sz w:val="14"/>
          </w:rPr>
          <w:t>Boris JR, Fischer PR. How should we measure the "POT" of POTS, and</w:t>
        </w:r>
      </w:hyperlink>
      <w:r>
        <w:rPr>
          <w:color w:val="127EAD"/>
          <w:sz w:val="14"/>
        </w:rPr>
        <w:t> </w:t>
      </w:r>
      <w:bookmarkStart w:name="_bookmark123" w:id="153"/>
      <w:bookmarkEnd w:id="153"/>
      <w:r>
        <w:rPr>
          <w:color w:val="127EAD"/>
          <w:sz w:val="14"/>
        </w:rPr>
      </w:r>
      <w:hyperlink r:id="rId147">
        <w:r>
          <w:rPr>
            <w:color w:val="127EAD"/>
            <w:sz w:val="14"/>
          </w:rPr>
          <w:t>how much does it matter? Clin Auton Res.  </w:t>
        </w:r>
        <w:r>
          <w:rPr>
            <w:color w:val="127EAD"/>
            <w:spacing w:val="4"/>
            <w:sz w:val="14"/>
          </w:rPr>
          <w:t> </w:t>
        </w:r>
        <w:r>
          <w:rPr>
            <w:color w:val="127EAD"/>
            <w:sz w:val="14"/>
          </w:rPr>
          <w:t>2024;34:21–3</w:t>
        </w:r>
      </w:hyperlink>
      <w:r>
        <w:rPr>
          <w:sz w:val="14"/>
        </w:rPr>
        <w:t>.</w:t>
      </w:r>
    </w:p>
    <w:p>
      <w:pPr>
        <w:pStyle w:val="ListParagraph"/>
        <w:numPr>
          <w:ilvl w:val="3"/>
          <w:numId w:val="3"/>
        </w:numPr>
        <w:tabs>
          <w:tab w:pos="485" w:val="left" w:leader="none"/>
        </w:tabs>
        <w:spacing w:line="247" w:lineRule="auto" w:before="1" w:after="0"/>
        <w:ind w:left="484" w:right="106" w:hanging="367"/>
        <w:jc w:val="both"/>
        <w:rPr>
          <w:sz w:val="14"/>
        </w:rPr>
      </w:pPr>
      <w:hyperlink r:id="rId148">
        <w:r>
          <w:rPr>
            <w:color w:val="127EAD"/>
            <w:sz w:val="14"/>
          </w:rPr>
          <w:t>Boris JR, Huang J, Bernadzikowski T. Orthostatic heart rate does not</w:t>
        </w:r>
      </w:hyperlink>
      <w:r>
        <w:rPr>
          <w:color w:val="127EAD"/>
          <w:sz w:val="14"/>
        </w:rPr>
        <w:t> </w:t>
      </w:r>
      <w:hyperlink r:id="rId148">
        <w:r>
          <w:rPr>
            <w:color w:val="127EAD"/>
            <w:sz w:val="14"/>
          </w:rPr>
          <w:t>predict symptomatic burden in pediatric patients with chronic ortho-</w:t>
        </w:r>
      </w:hyperlink>
      <w:r>
        <w:rPr>
          <w:color w:val="127EAD"/>
          <w:sz w:val="14"/>
        </w:rPr>
        <w:t> </w:t>
      </w:r>
      <w:bookmarkStart w:name="_bookmark124" w:id="154"/>
      <w:bookmarkEnd w:id="154"/>
      <w:r>
        <w:rPr>
          <w:color w:val="127EAD"/>
          <w:sz w:val="14"/>
        </w:rPr>
      </w:r>
      <w:hyperlink r:id="rId148">
        <w:r>
          <w:rPr>
            <w:color w:val="127EAD"/>
            <w:sz w:val="14"/>
          </w:rPr>
          <w:t>static intolerance. Clin Auton Res. </w:t>
        </w:r>
        <w:r>
          <w:rPr>
            <w:color w:val="127EAD"/>
            <w:spacing w:val="6"/>
            <w:sz w:val="14"/>
          </w:rPr>
          <w:t> </w:t>
        </w:r>
        <w:r>
          <w:rPr>
            <w:color w:val="127EAD"/>
            <w:sz w:val="14"/>
          </w:rPr>
          <w:t>2020;30:19–28</w:t>
        </w:r>
      </w:hyperlink>
      <w:r>
        <w:rPr>
          <w:sz w:val="14"/>
        </w:rPr>
        <w:t>.</w:t>
      </w:r>
    </w:p>
    <w:p>
      <w:pPr>
        <w:pStyle w:val="ListParagraph"/>
        <w:numPr>
          <w:ilvl w:val="3"/>
          <w:numId w:val="3"/>
        </w:numPr>
        <w:tabs>
          <w:tab w:pos="485" w:val="left" w:leader="none"/>
        </w:tabs>
        <w:spacing w:line="247" w:lineRule="auto" w:before="0" w:after="0"/>
        <w:ind w:left="484" w:right="104" w:hanging="367"/>
        <w:jc w:val="both"/>
        <w:rPr>
          <w:sz w:val="14"/>
        </w:rPr>
      </w:pPr>
      <w:hyperlink r:id="rId149">
        <w:r>
          <w:rPr>
            <w:color w:val="127EAD"/>
            <w:sz w:val="14"/>
          </w:rPr>
          <w:t>Boris JR, Bernadzikowski T. Utilisation of medications to reduce</w:t>
        </w:r>
      </w:hyperlink>
      <w:r>
        <w:rPr>
          <w:color w:val="127EAD"/>
          <w:sz w:val="14"/>
        </w:rPr>
        <w:t> </w:t>
      </w:r>
      <w:hyperlink r:id="rId149">
        <w:r>
          <w:rPr>
            <w:color w:val="127EAD"/>
            <w:sz w:val="14"/>
          </w:rPr>
          <w:t>symptoms in children with postural orthostatic tachycardia syndrome.</w:t>
        </w:r>
      </w:hyperlink>
      <w:r>
        <w:rPr>
          <w:color w:val="127EAD"/>
          <w:sz w:val="14"/>
        </w:rPr>
        <w:t> </w:t>
      </w:r>
      <w:hyperlink r:id="rId149">
        <w:r>
          <w:rPr>
            <w:color w:val="127EAD"/>
            <w:sz w:val="14"/>
          </w:rPr>
          <w:t>Cardiol Young.</w:t>
        </w:r>
        <w:r>
          <w:rPr>
            <w:color w:val="127EAD"/>
            <w:spacing w:val="13"/>
            <w:sz w:val="14"/>
          </w:rPr>
          <w:t> </w:t>
        </w:r>
        <w:r>
          <w:rPr>
            <w:color w:val="127EAD"/>
            <w:sz w:val="14"/>
          </w:rPr>
          <w:t>2018;28:1386–92</w:t>
        </w:r>
      </w:hyperlink>
      <w:r>
        <w:rPr>
          <w:sz w:val="14"/>
        </w:rPr>
        <w:t>.</w:t>
      </w:r>
    </w:p>
    <w:p>
      <w:pPr>
        <w:pStyle w:val="ListParagraph"/>
        <w:numPr>
          <w:ilvl w:val="3"/>
          <w:numId w:val="3"/>
        </w:numPr>
        <w:tabs>
          <w:tab w:pos="485" w:val="left" w:leader="none"/>
        </w:tabs>
        <w:spacing w:line="247" w:lineRule="auto" w:before="1" w:after="0"/>
        <w:ind w:left="484" w:right="104" w:hanging="367"/>
        <w:jc w:val="both"/>
        <w:rPr>
          <w:sz w:val="14"/>
        </w:rPr>
      </w:pPr>
      <w:hyperlink r:id="rId150">
        <w:r>
          <w:rPr>
            <w:color w:val="127EAD"/>
            <w:sz w:val="14"/>
          </w:rPr>
          <w:t>Boris JR, Bernadzikowski T. Therapy for fatigue and cognitive</w:t>
        </w:r>
      </w:hyperlink>
      <w:r>
        <w:rPr>
          <w:color w:val="127EAD"/>
          <w:sz w:val="14"/>
        </w:rPr>
        <w:t> </w:t>
      </w:r>
      <w:hyperlink r:id="rId150">
        <w:r>
          <w:rPr>
            <w:color w:val="127EAD"/>
            <w:sz w:val="14"/>
          </w:rPr>
          <w:t>dysfunction in postural orthostatic tachycardia syndrome. Cardiol</w:t>
        </w:r>
      </w:hyperlink>
      <w:r>
        <w:rPr>
          <w:color w:val="127EAD"/>
          <w:sz w:val="14"/>
        </w:rPr>
        <w:t> </w:t>
      </w:r>
      <w:hyperlink r:id="rId150">
        <w:r>
          <w:rPr>
            <w:color w:val="127EAD"/>
            <w:sz w:val="14"/>
          </w:rPr>
          <w:t>Young.</w:t>
        </w:r>
        <w:r>
          <w:rPr>
            <w:color w:val="127EAD"/>
            <w:spacing w:val="4"/>
            <w:sz w:val="14"/>
          </w:rPr>
          <w:t> </w:t>
        </w:r>
        <w:r>
          <w:rPr>
            <w:color w:val="127EAD"/>
            <w:sz w:val="14"/>
          </w:rPr>
          <w:t>2018;28:1415–20</w:t>
        </w:r>
      </w:hyperlink>
      <w:r>
        <w:rPr>
          <w:sz w:val="14"/>
        </w:rPr>
        <w:t>.</w:t>
      </w:r>
    </w:p>
    <w:p>
      <w:pPr>
        <w:pStyle w:val="ListParagraph"/>
        <w:numPr>
          <w:ilvl w:val="3"/>
          <w:numId w:val="3"/>
        </w:numPr>
        <w:tabs>
          <w:tab w:pos="485" w:val="left" w:leader="none"/>
        </w:tabs>
        <w:spacing w:line="247" w:lineRule="auto" w:before="0" w:after="0"/>
        <w:ind w:left="484" w:right="104" w:hanging="367"/>
        <w:jc w:val="both"/>
        <w:rPr>
          <w:sz w:val="14"/>
        </w:rPr>
      </w:pPr>
      <w:hyperlink r:id="rId151">
        <w:r>
          <w:rPr>
            <w:color w:val="127EAD"/>
            <w:sz w:val="14"/>
          </w:rPr>
          <w:t>Stewart JM, Boris JR, Chelimsky G, Fischer PR, Fortunato JE, Grubb BP,</w:t>
        </w:r>
      </w:hyperlink>
      <w:r>
        <w:rPr>
          <w:color w:val="127EAD"/>
          <w:sz w:val="14"/>
        </w:rPr>
        <w:t> </w:t>
      </w:r>
      <w:hyperlink r:id="rId151">
        <w:r>
          <w:rPr>
            <w:color w:val="127EAD"/>
            <w:sz w:val="14"/>
          </w:rPr>
          <w:t>et al. Pediatric disorders of orthostatic intolerance. Pediatrics. 2018;141:</w:t>
        </w:r>
      </w:hyperlink>
      <w:r>
        <w:rPr>
          <w:color w:val="127EAD"/>
          <w:sz w:val="14"/>
        </w:rPr>
        <w:t> </w:t>
      </w:r>
      <w:bookmarkStart w:name="_bookmark125" w:id="155"/>
      <w:bookmarkEnd w:id="155"/>
      <w:r>
        <w:rPr>
          <w:color w:val="127EAD"/>
          <w:sz w:val="14"/>
        </w:rPr>
      </w:r>
      <w:hyperlink r:id="rId151">
        <w:r>
          <w:rPr>
            <w:color w:val="127EAD"/>
            <w:sz w:val="14"/>
          </w:rPr>
          <w:t>e20171673</w:t>
        </w:r>
      </w:hyperlink>
      <w:r>
        <w:rPr>
          <w:sz w:val="14"/>
        </w:rPr>
        <w:t>.</w:t>
      </w:r>
    </w:p>
    <w:p>
      <w:pPr>
        <w:pStyle w:val="ListParagraph"/>
        <w:numPr>
          <w:ilvl w:val="3"/>
          <w:numId w:val="3"/>
        </w:numPr>
        <w:tabs>
          <w:tab w:pos="485" w:val="left" w:leader="none"/>
        </w:tabs>
        <w:spacing w:line="247" w:lineRule="auto" w:before="0" w:after="0"/>
        <w:ind w:left="484" w:right="103" w:hanging="367"/>
        <w:jc w:val="both"/>
        <w:rPr>
          <w:sz w:val="14"/>
        </w:rPr>
      </w:pPr>
      <w:hyperlink r:id="rId152">
        <w:r>
          <w:rPr>
            <w:color w:val="127EAD"/>
            <w:sz w:val="14"/>
          </w:rPr>
          <w:t>Huynh P, Brown A, Campisi L, Mruk A, Nguyen T, Raschka M, et al.</w:t>
        </w:r>
      </w:hyperlink>
      <w:r>
        <w:rPr>
          <w:color w:val="127EAD"/>
          <w:sz w:val="14"/>
        </w:rPr>
        <w:t> </w:t>
      </w:r>
      <w:hyperlink r:id="rId152">
        <w:r>
          <w:rPr>
            <w:color w:val="127EAD"/>
            <w:sz w:val="14"/>
          </w:rPr>
          <w:t>Management of postural orthostatic tachycardia syndrome in pedi-</w:t>
        </w:r>
      </w:hyperlink>
      <w:r>
        <w:rPr>
          <w:color w:val="127EAD"/>
          <w:sz w:val="14"/>
        </w:rPr>
        <w:t> </w:t>
      </w:r>
      <w:hyperlink r:id="rId152">
        <w:r>
          <w:rPr>
            <w:color w:val="127EAD"/>
            <w:sz w:val="14"/>
          </w:rPr>
          <w:t>atric patients: a clinical review. J Pediatr Pharmacol Ther. 2024;29:456–</w:t>
        </w:r>
      </w:hyperlink>
      <w:r>
        <w:rPr>
          <w:color w:val="127EAD"/>
          <w:sz w:val="14"/>
        </w:rPr>
        <w:t> </w:t>
      </w:r>
      <w:bookmarkStart w:name="_bookmark126" w:id="156"/>
      <w:bookmarkEnd w:id="156"/>
      <w:r>
        <w:rPr>
          <w:color w:val="127EAD"/>
          <w:sz w:val="14"/>
        </w:rPr>
      </w:r>
      <w:hyperlink r:id="rId152">
        <w:r>
          <w:rPr>
            <w:color w:val="127EAD"/>
            <w:sz w:val="14"/>
          </w:rPr>
          <w:t>67</w:t>
        </w:r>
      </w:hyperlink>
      <w:r>
        <w:rPr>
          <w:sz w:val="14"/>
        </w:rPr>
        <w:t>.</w:t>
      </w:r>
    </w:p>
    <w:p>
      <w:pPr>
        <w:pStyle w:val="ListParagraph"/>
        <w:numPr>
          <w:ilvl w:val="3"/>
          <w:numId w:val="3"/>
        </w:numPr>
        <w:tabs>
          <w:tab w:pos="485" w:val="left" w:leader="none"/>
        </w:tabs>
        <w:spacing w:line="247" w:lineRule="auto" w:before="0" w:after="0"/>
        <w:ind w:left="484" w:right="105" w:hanging="367"/>
        <w:jc w:val="both"/>
        <w:rPr>
          <w:sz w:val="14"/>
        </w:rPr>
      </w:pPr>
      <w:hyperlink r:id="rId153">
        <w:r>
          <w:rPr>
            <w:color w:val="127EAD"/>
            <w:sz w:val="14"/>
          </w:rPr>
          <w:t>Grigoriou E, Boris JR, Dormans JP. Postural orthostatic tachycardia</w:t>
        </w:r>
      </w:hyperlink>
      <w:r>
        <w:rPr>
          <w:color w:val="127EAD"/>
          <w:sz w:val="14"/>
        </w:rPr>
        <w:t> </w:t>
      </w:r>
      <w:hyperlink r:id="rId153">
        <w:r>
          <w:rPr>
            <w:color w:val="127EAD"/>
            <w:sz w:val="14"/>
          </w:rPr>
          <w:t>syndrome (POTS): association with Ehlers-Danlos syndrome and or-</w:t>
        </w:r>
      </w:hyperlink>
      <w:r>
        <w:rPr>
          <w:color w:val="127EAD"/>
          <w:sz w:val="14"/>
        </w:rPr>
        <w:t> </w:t>
      </w:r>
      <w:bookmarkStart w:name="_bookmark127" w:id="157"/>
      <w:bookmarkEnd w:id="157"/>
      <w:r>
        <w:rPr>
          <w:color w:val="127EAD"/>
          <w:sz w:val="14"/>
        </w:rPr>
      </w:r>
      <w:hyperlink r:id="rId153">
        <w:r>
          <w:rPr>
            <w:color w:val="127EAD"/>
            <w:sz w:val="14"/>
          </w:rPr>
          <w:t>thopaedic considerations. Clin Orthop Relat Res. </w:t>
        </w:r>
        <w:r>
          <w:rPr>
            <w:color w:val="127EAD"/>
            <w:spacing w:val="13"/>
            <w:sz w:val="14"/>
          </w:rPr>
          <w:t> </w:t>
        </w:r>
        <w:r>
          <w:rPr>
            <w:color w:val="127EAD"/>
            <w:sz w:val="14"/>
          </w:rPr>
          <w:t>2015;473:722–8</w:t>
        </w:r>
      </w:hyperlink>
      <w:r>
        <w:rPr>
          <w:sz w:val="14"/>
        </w:rPr>
        <w:t>.</w:t>
      </w:r>
    </w:p>
    <w:p>
      <w:pPr>
        <w:pStyle w:val="ListParagraph"/>
        <w:numPr>
          <w:ilvl w:val="3"/>
          <w:numId w:val="3"/>
        </w:numPr>
        <w:tabs>
          <w:tab w:pos="485" w:val="left" w:leader="none"/>
        </w:tabs>
        <w:spacing w:line="247" w:lineRule="auto" w:before="1" w:after="0"/>
        <w:ind w:left="484" w:right="104" w:hanging="367"/>
        <w:jc w:val="both"/>
        <w:rPr>
          <w:sz w:val="14"/>
        </w:rPr>
      </w:pPr>
      <w:hyperlink r:id="rId154">
        <w:r>
          <w:rPr>
            <w:color w:val="127EAD"/>
            <w:sz w:val="14"/>
          </w:rPr>
          <w:t>Boris JR, Shadiack EC 3rd, McCormick EM, MacMullen L, George-</w:t>
        </w:r>
      </w:hyperlink>
      <w:r>
        <w:rPr>
          <w:color w:val="127EAD"/>
          <w:sz w:val="14"/>
        </w:rPr>
        <w:t> </w:t>
      </w:r>
      <w:hyperlink r:id="rId154">
        <w:r>
          <w:rPr>
            <w:color w:val="127EAD"/>
            <w:sz w:val="14"/>
          </w:rPr>
          <w:t>Sankoh I, Falk MJ. Long-term POTS outcomes survey: diagnosis, ther-</w:t>
        </w:r>
      </w:hyperlink>
      <w:r>
        <w:rPr>
          <w:color w:val="127EAD"/>
          <w:sz w:val="14"/>
        </w:rPr>
        <w:t> </w:t>
      </w:r>
      <w:bookmarkStart w:name="_bookmark128" w:id="158"/>
      <w:bookmarkEnd w:id="158"/>
      <w:r>
        <w:rPr>
          <w:color w:val="127EAD"/>
          <w:sz w:val="14"/>
        </w:rPr>
      </w:r>
      <w:hyperlink r:id="rId154">
        <w:r>
          <w:rPr>
            <w:color w:val="127EAD"/>
            <w:sz w:val="14"/>
          </w:rPr>
          <w:t>apy, and clinical outcomes. J Am Heart Assoc. </w:t>
        </w:r>
        <w:r>
          <w:rPr>
            <w:color w:val="127EAD"/>
            <w:spacing w:val="34"/>
            <w:sz w:val="14"/>
          </w:rPr>
          <w:t> </w:t>
        </w:r>
        <w:r>
          <w:rPr>
            <w:color w:val="127EAD"/>
            <w:sz w:val="14"/>
          </w:rPr>
          <w:t>2024;13:e033485</w:t>
        </w:r>
      </w:hyperlink>
      <w:r>
        <w:rPr>
          <w:sz w:val="14"/>
        </w:rPr>
        <w:t>.</w:t>
      </w:r>
    </w:p>
    <w:p>
      <w:pPr>
        <w:pStyle w:val="ListParagraph"/>
        <w:numPr>
          <w:ilvl w:val="3"/>
          <w:numId w:val="3"/>
        </w:numPr>
        <w:tabs>
          <w:tab w:pos="485" w:val="left" w:leader="none"/>
        </w:tabs>
        <w:spacing w:line="247" w:lineRule="auto" w:before="0" w:after="0"/>
        <w:ind w:left="484" w:right="104" w:hanging="367"/>
        <w:jc w:val="both"/>
        <w:rPr>
          <w:sz w:val="14"/>
        </w:rPr>
      </w:pPr>
      <w:hyperlink r:id="rId155">
        <w:r>
          <w:rPr>
            <w:color w:val="127EAD"/>
            <w:sz w:val="14"/>
          </w:rPr>
          <w:t>Morgan K, Smith A, Blitshteyn S. POTS and pregnancy: a review of</w:t>
        </w:r>
      </w:hyperlink>
      <w:r>
        <w:rPr>
          <w:color w:val="127EAD"/>
          <w:sz w:val="14"/>
        </w:rPr>
        <w:t> </w:t>
      </w:r>
      <w:hyperlink r:id="rId155">
        <w:r>
          <w:rPr>
            <w:color w:val="127EAD"/>
            <w:sz w:val="14"/>
          </w:rPr>
          <w:t>literature and recommendations for evaluation and treatment. Int J</w:t>
        </w:r>
      </w:hyperlink>
      <w:r>
        <w:rPr>
          <w:color w:val="127EAD"/>
          <w:sz w:val="14"/>
        </w:rPr>
        <w:t> </w:t>
      </w:r>
      <w:bookmarkStart w:name="_bookmark129" w:id="159"/>
      <w:bookmarkEnd w:id="159"/>
      <w:r>
        <w:rPr>
          <w:color w:val="127EAD"/>
          <w:sz w:val="14"/>
        </w:rPr>
      </w:r>
      <w:hyperlink r:id="rId155">
        <w:r>
          <w:rPr>
            <w:color w:val="127EAD"/>
            <w:sz w:val="14"/>
          </w:rPr>
          <w:t>Womens Health.</w:t>
        </w:r>
        <w:r>
          <w:rPr>
            <w:color w:val="127EAD"/>
            <w:spacing w:val="12"/>
            <w:sz w:val="14"/>
          </w:rPr>
          <w:t> </w:t>
        </w:r>
        <w:r>
          <w:rPr>
            <w:color w:val="127EAD"/>
            <w:sz w:val="14"/>
          </w:rPr>
          <w:t>2022;14:1831–47</w:t>
        </w:r>
      </w:hyperlink>
      <w:r>
        <w:rPr>
          <w:sz w:val="14"/>
        </w:rPr>
        <w:t>.</w:t>
      </w:r>
    </w:p>
    <w:p>
      <w:pPr>
        <w:pStyle w:val="ListParagraph"/>
        <w:numPr>
          <w:ilvl w:val="3"/>
          <w:numId w:val="3"/>
        </w:numPr>
        <w:tabs>
          <w:tab w:pos="485" w:val="left" w:leader="none"/>
        </w:tabs>
        <w:spacing w:line="247" w:lineRule="auto" w:before="1" w:after="0"/>
        <w:ind w:left="484" w:right="104" w:hanging="367"/>
        <w:jc w:val="both"/>
        <w:rPr>
          <w:sz w:val="14"/>
        </w:rPr>
      </w:pPr>
      <w:hyperlink r:id="rId156">
        <w:r>
          <w:rPr>
            <w:color w:val="127EAD"/>
            <w:sz w:val="14"/>
          </w:rPr>
          <w:t>Bhatia M, Kavi L, Nelson-Piercy C. Postural tachycardia syndrome and</w:t>
        </w:r>
      </w:hyperlink>
      <w:r>
        <w:rPr>
          <w:color w:val="127EAD"/>
          <w:sz w:val="14"/>
        </w:rPr>
        <w:t> </w:t>
      </w:r>
      <w:bookmarkStart w:name="_bookmark130" w:id="160"/>
      <w:bookmarkEnd w:id="160"/>
      <w:r>
        <w:rPr>
          <w:color w:val="127EAD"/>
          <w:sz w:val="14"/>
        </w:rPr>
      </w:r>
      <w:hyperlink r:id="rId156">
        <w:r>
          <w:rPr>
            <w:color w:val="127EAD"/>
            <w:sz w:val="14"/>
          </w:rPr>
          <w:t>pregnancy. Obstet Gynaecol.</w:t>
        </w:r>
        <w:r>
          <w:rPr>
            <w:color w:val="127EAD"/>
            <w:spacing w:val="20"/>
            <w:sz w:val="14"/>
          </w:rPr>
          <w:t> </w:t>
        </w:r>
        <w:r>
          <w:rPr>
            <w:color w:val="127EAD"/>
            <w:sz w:val="14"/>
          </w:rPr>
          <w:t>2018;20:119–23</w:t>
        </w:r>
      </w:hyperlink>
      <w:r>
        <w:rPr>
          <w:sz w:val="14"/>
        </w:rPr>
        <w:t>.</w:t>
      </w:r>
    </w:p>
    <w:p>
      <w:pPr>
        <w:pStyle w:val="ListParagraph"/>
        <w:numPr>
          <w:ilvl w:val="3"/>
          <w:numId w:val="3"/>
        </w:numPr>
        <w:tabs>
          <w:tab w:pos="485" w:val="left" w:leader="none"/>
        </w:tabs>
        <w:spacing w:line="247" w:lineRule="auto" w:before="0" w:after="0"/>
        <w:ind w:left="484" w:right="104" w:hanging="367"/>
        <w:jc w:val="both"/>
        <w:rPr>
          <w:sz w:val="14"/>
        </w:rPr>
      </w:pPr>
      <w:hyperlink r:id="rId157">
        <w:r>
          <w:rPr>
            <w:color w:val="127EAD"/>
            <w:sz w:val="14"/>
          </w:rPr>
          <w:t>Knoop</w:t>
        </w:r>
        <w:r>
          <w:rPr>
            <w:color w:val="127EAD"/>
            <w:spacing w:val="-5"/>
            <w:sz w:val="14"/>
          </w:rPr>
          <w:t> </w:t>
        </w:r>
        <w:r>
          <w:rPr>
            <w:color w:val="127EAD"/>
            <w:sz w:val="14"/>
          </w:rPr>
          <w:t>I,</w:t>
        </w:r>
        <w:r>
          <w:rPr>
            <w:color w:val="127EAD"/>
            <w:spacing w:val="-5"/>
            <w:sz w:val="14"/>
          </w:rPr>
          <w:t> </w:t>
        </w:r>
        <w:r>
          <w:rPr>
            <w:color w:val="127EAD"/>
            <w:sz w:val="14"/>
          </w:rPr>
          <w:t>Dunwoody</w:t>
        </w:r>
        <w:r>
          <w:rPr>
            <w:color w:val="127EAD"/>
            <w:spacing w:val="-5"/>
            <w:sz w:val="14"/>
          </w:rPr>
          <w:t> </w:t>
        </w:r>
        <w:r>
          <w:rPr>
            <w:color w:val="127EAD"/>
            <w:sz w:val="14"/>
          </w:rPr>
          <w:t>L.</w:t>
        </w:r>
        <w:r>
          <w:rPr>
            <w:color w:val="127EAD"/>
            <w:spacing w:val="-5"/>
            <w:sz w:val="14"/>
          </w:rPr>
          <w:t> </w:t>
        </w:r>
        <w:r>
          <w:rPr>
            <w:color w:val="127EAD"/>
            <w:sz w:val="14"/>
          </w:rPr>
          <w:t>"You’re</w:t>
        </w:r>
        <w:r>
          <w:rPr>
            <w:color w:val="127EAD"/>
            <w:spacing w:val="-5"/>
            <w:sz w:val="14"/>
          </w:rPr>
          <w:t> </w:t>
        </w:r>
        <w:r>
          <w:rPr>
            <w:color w:val="127EAD"/>
            <w:sz w:val="14"/>
          </w:rPr>
          <w:t>always</w:t>
        </w:r>
        <w:r>
          <w:rPr>
            <w:color w:val="127EAD"/>
            <w:spacing w:val="-5"/>
            <w:sz w:val="14"/>
          </w:rPr>
          <w:t> </w:t>
        </w:r>
        <w:r>
          <w:rPr>
            <w:color w:val="127EAD"/>
            <w:sz w:val="14"/>
          </w:rPr>
          <w:t>fighting":</w:t>
        </w:r>
        <w:r>
          <w:rPr>
            <w:color w:val="127EAD"/>
            <w:spacing w:val="-4"/>
            <w:sz w:val="14"/>
          </w:rPr>
          <w:t> </w:t>
        </w:r>
        <w:r>
          <w:rPr>
            <w:color w:val="127EAD"/>
            <w:sz w:val="14"/>
          </w:rPr>
          <w:t>the</w:t>
        </w:r>
        <w:r>
          <w:rPr>
            <w:color w:val="127EAD"/>
            <w:spacing w:val="-5"/>
            <w:sz w:val="14"/>
          </w:rPr>
          <w:t> </w:t>
        </w:r>
        <w:r>
          <w:rPr>
            <w:color w:val="127EAD"/>
            <w:sz w:val="14"/>
          </w:rPr>
          <w:t>lived</w:t>
        </w:r>
        <w:r>
          <w:rPr>
            <w:color w:val="127EAD"/>
            <w:spacing w:val="-5"/>
            <w:sz w:val="14"/>
          </w:rPr>
          <w:t> </w:t>
        </w:r>
        <w:r>
          <w:rPr>
            <w:color w:val="127EAD"/>
            <w:sz w:val="14"/>
          </w:rPr>
          <w:t>experience</w:t>
        </w:r>
        <w:r>
          <w:rPr>
            <w:color w:val="127EAD"/>
            <w:spacing w:val="-4"/>
            <w:sz w:val="14"/>
          </w:rPr>
          <w:t> </w:t>
        </w:r>
        <w:r>
          <w:rPr>
            <w:color w:val="127EAD"/>
            <w:sz w:val="14"/>
          </w:rPr>
          <w:t>of</w:t>
        </w:r>
      </w:hyperlink>
      <w:r>
        <w:rPr>
          <w:color w:val="127EAD"/>
          <w:sz w:val="14"/>
        </w:rPr>
        <w:t> </w:t>
      </w:r>
      <w:hyperlink r:id="rId157">
        <w:r>
          <w:rPr>
            <w:color w:val="127EAD"/>
            <w:sz w:val="14"/>
          </w:rPr>
          <w:t>people with postural orthostatic tachycardia syndrome (POTS). Disabil</w:t>
        </w:r>
      </w:hyperlink>
      <w:r>
        <w:rPr>
          <w:color w:val="127EAD"/>
          <w:sz w:val="14"/>
        </w:rPr>
        <w:t> </w:t>
      </w:r>
      <w:bookmarkStart w:name="_bookmark131" w:id="161"/>
      <w:bookmarkEnd w:id="161"/>
      <w:r>
        <w:rPr>
          <w:color w:val="127EAD"/>
          <w:sz w:val="14"/>
        </w:rPr>
      </w:r>
      <w:hyperlink r:id="rId157">
        <w:r>
          <w:rPr>
            <w:color w:val="127EAD"/>
            <w:sz w:val="14"/>
          </w:rPr>
          <w:t>Rehabil.</w:t>
        </w:r>
        <w:r>
          <w:rPr>
            <w:color w:val="127EAD"/>
            <w:spacing w:val="4"/>
            <w:sz w:val="14"/>
          </w:rPr>
          <w:t> </w:t>
        </w:r>
        <w:r>
          <w:rPr>
            <w:color w:val="127EAD"/>
            <w:sz w:val="14"/>
          </w:rPr>
          <w:t>2023;45:1629–35</w:t>
        </w:r>
      </w:hyperlink>
      <w:r>
        <w:rPr>
          <w:sz w:val="14"/>
        </w:rPr>
        <w:t>.</w:t>
      </w:r>
    </w:p>
    <w:p>
      <w:pPr>
        <w:pStyle w:val="ListParagraph"/>
        <w:numPr>
          <w:ilvl w:val="3"/>
          <w:numId w:val="3"/>
        </w:numPr>
        <w:tabs>
          <w:tab w:pos="485" w:val="left" w:leader="none"/>
        </w:tabs>
        <w:spacing w:line="247" w:lineRule="auto" w:before="0" w:after="0"/>
        <w:ind w:left="484" w:right="104" w:hanging="367"/>
        <w:jc w:val="both"/>
        <w:rPr>
          <w:sz w:val="14"/>
        </w:rPr>
      </w:pPr>
      <w:hyperlink r:id="rId158">
        <w:r>
          <w:rPr>
            <w:color w:val="127EAD"/>
            <w:sz w:val="14"/>
          </w:rPr>
          <w:t>Seeley MC, Lau DH. Raising the bar in postural orthostatic tachycardia</w:t>
        </w:r>
      </w:hyperlink>
      <w:r>
        <w:rPr>
          <w:color w:val="127EAD"/>
          <w:sz w:val="14"/>
        </w:rPr>
        <w:t> </w:t>
      </w:r>
      <w:hyperlink r:id="rId158">
        <w:r>
          <w:rPr>
            <w:color w:val="127EAD"/>
            <w:sz w:val="14"/>
          </w:rPr>
          <w:t>syndrome</w:t>
        </w:r>
        <w:r>
          <w:rPr>
            <w:color w:val="127EAD"/>
            <w:spacing w:val="-6"/>
            <w:sz w:val="14"/>
          </w:rPr>
          <w:t> </w:t>
        </w:r>
        <w:r>
          <w:rPr>
            <w:color w:val="127EAD"/>
            <w:sz w:val="14"/>
          </w:rPr>
          <w:t>research:</w:t>
        </w:r>
        <w:r>
          <w:rPr>
            <w:color w:val="127EAD"/>
            <w:spacing w:val="-6"/>
            <w:sz w:val="14"/>
          </w:rPr>
          <w:t> </w:t>
        </w:r>
        <w:r>
          <w:rPr>
            <w:color w:val="127EAD"/>
            <w:sz w:val="14"/>
          </w:rPr>
          <w:t>evidence</w:t>
        </w:r>
        <w:r>
          <w:rPr>
            <w:color w:val="127EAD"/>
            <w:spacing w:val="-5"/>
            <w:sz w:val="14"/>
          </w:rPr>
          <w:t> </w:t>
        </w:r>
        <w:r>
          <w:rPr>
            <w:color w:val="127EAD"/>
            <w:sz w:val="14"/>
          </w:rPr>
          <w:t>and</w:t>
        </w:r>
        <w:r>
          <w:rPr>
            <w:color w:val="127EAD"/>
            <w:spacing w:val="-6"/>
            <w:sz w:val="14"/>
          </w:rPr>
          <w:t> </w:t>
        </w:r>
        <w:r>
          <w:rPr>
            <w:color w:val="127EAD"/>
            <w:sz w:val="14"/>
          </w:rPr>
          <w:t>challenges.</w:t>
        </w:r>
        <w:r>
          <w:rPr>
            <w:color w:val="127EAD"/>
            <w:spacing w:val="-7"/>
            <w:sz w:val="14"/>
          </w:rPr>
          <w:t> </w:t>
        </w:r>
        <w:r>
          <w:rPr>
            <w:color w:val="127EAD"/>
            <w:sz w:val="14"/>
          </w:rPr>
          <w:t>Auton</w:t>
        </w:r>
        <w:r>
          <w:rPr>
            <w:color w:val="127EAD"/>
            <w:spacing w:val="-5"/>
            <w:sz w:val="14"/>
          </w:rPr>
          <w:t> </w:t>
        </w:r>
        <w:r>
          <w:rPr>
            <w:color w:val="127EAD"/>
            <w:sz w:val="14"/>
          </w:rPr>
          <w:t>Neurosci.</w:t>
        </w:r>
        <w:r>
          <w:rPr>
            <w:color w:val="127EAD"/>
            <w:spacing w:val="-6"/>
            <w:sz w:val="14"/>
          </w:rPr>
          <w:t> </w:t>
        </w:r>
        <w:r>
          <w:rPr>
            <w:color w:val="127EAD"/>
            <w:sz w:val="14"/>
          </w:rPr>
          <w:t>2021;233:</w:t>
        </w:r>
      </w:hyperlink>
      <w:r>
        <w:rPr>
          <w:color w:val="127EAD"/>
          <w:sz w:val="14"/>
        </w:rPr>
        <w:t> </w:t>
      </w:r>
      <w:bookmarkStart w:name="_bookmark132" w:id="162"/>
      <w:bookmarkEnd w:id="162"/>
      <w:r>
        <w:rPr>
          <w:color w:val="127EAD"/>
          <w:sz w:val="14"/>
        </w:rPr>
      </w:r>
      <w:hyperlink r:id="rId158">
        <w:r>
          <w:rPr>
            <w:color w:val="127EAD"/>
            <w:sz w:val="14"/>
          </w:rPr>
          <w:t>102790</w:t>
        </w:r>
      </w:hyperlink>
      <w:r>
        <w:rPr>
          <w:sz w:val="14"/>
        </w:rPr>
        <w:t>.</w:t>
      </w:r>
    </w:p>
    <w:p>
      <w:pPr>
        <w:pStyle w:val="ListParagraph"/>
        <w:numPr>
          <w:ilvl w:val="3"/>
          <w:numId w:val="3"/>
        </w:numPr>
        <w:tabs>
          <w:tab w:pos="485" w:val="left" w:leader="none"/>
        </w:tabs>
        <w:spacing w:line="247" w:lineRule="auto" w:before="0" w:after="0"/>
        <w:ind w:left="484" w:right="104" w:hanging="367"/>
        <w:jc w:val="both"/>
        <w:rPr>
          <w:sz w:val="14"/>
        </w:rPr>
      </w:pPr>
      <w:r>
        <w:rPr>
          <w:sz w:val="14"/>
        </w:rPr>
        <w:t>The Australian POTS Foundation. Pre-budget submission 2025–2026. Australian Government. Available at:</w:t>
      </w:r>
      <w:r>
        <w:rPr>
          <w:spacing w:val="-11"/>
          <w:sz w:val="14"/>
        </w:rPr>
        <w:t> </w:t>
      </w:r>
      <w:hyperlink r:id="rId159">
        <w:r>
          <w:rPr>
            <w:color w:val="127EAD"/>
            <w:sz w:val="14"/>
          </w:rPr>
          <w:t>https://consult.treasury.gov.au/</w:t>
        </w:r>
      </w:hyperlink>
      <w:r>
        <w:rPr>
          <w:color w:val="127EAD"/>
          <w:sz w:val="14"/>
        </w:rPr>
        <w:t> </w:t>
      </w:r>
      <w:bookmarkStart w:name="_bookmark133" w:id="163"/>
      <w:bookmarkEnd w:id="163"/>
      <w:r>
        <w:rPr>
          <w:color w:val="127EAD"/>
          <w:sz w:val="14"/>
        </w:rPr>
      </w:r>
      <w:hyperlink r:id="rId159">
        <w:r>
          <w:rPr>
            <w:color w:val="127EAD"/>
            <w:sz w:val="14"/>
          </w:rPr>
          <w:t>pre-budget-submissions/2025-26/view/425</w:t>
        </w:r>
      </w:hyperlink>
      <w:r>
        <w:rPr>
          <w:sz w:val="14"/>
        </w:rPr>
        <w:t>. [accessed</w:t>
      </w:r>
      <w:r>
        <w:rPr>
          <w:spacing w:val="5"/>
          <w:sz w:val="14"/>
        </w:rPr>
        <w:t> </w:t>
      </w:r>
      <w:r>
        <w:rPr>
          <w:sz w:val="14"/>
        </w:rPr>
        <w:t>2.1.26].</w:t>
      </w:r>
    </w:p>
    <w:p>
      <w:pPr>
        <w:pStyle w:val="ListParagraph"/>
        <w:numPr>
          <w:ilvl w:val="3"/>
          <w:numId w:val="3"/>
        </w:numPr>
        <w:tabs>
          <w:tab w:pos="485" w:val="left" w:leader="none"/>
        </w:tabs>
        <w:spacing w:line="247" w:lineRule="auto" w:before="0" w:after="0"/>
        <w:ind w:left="484" w:right="105" w:hanging="367"/>
        <w:jc w:val="both"/>
        <w:rPr>
          <w:sz w:val="14"/>
        </w:rPr>
      </w:pPr>
      <w:hyperlink r:id="rId160">
        <w:r>
          <w:rPr>
            <w:color w:val="127EAD"/>
            <w:sz w:val="14"/>
          </w:rPr>
          <w:t>Schondorf</w:t>
        </w:r>
        <w:r>
          <w:rPr>
            <w:color w:val="127EAD"/>
            <w:spacing w:val="-4"/>
            <w:sz w:val="14"/>
          </w:rPr>
          <w:t> </w:t>
        </w:r>
        <w:r>
          <w:rPr>
            <w:color w:val="127EAD"/>
            <w:sz w:val="14"/>
          </w:rPr>
          <w:t>R,</w:t>
        </w:r>
        <w:r>
          <w:rPr>
            <w:color w:val="127EAD"/>
            <w:spacing w:val="-2"/>
            <w:sz w:val="14"/>
          </w:rPr>
          <w:t> </w:t>
        </w:r>
        <w:r>
          <w:rPr>
            <w:color w:val="127EAD"/>
            <w:sz w:val="14"/>
          </w:rPr>
          <w:t>Benoit</w:t>
        </w:r>
        <w:r>
          <w:rPr>
            <w:color w:val="127EAD"/>
            <w:spacing w:val="-3"/>
            <w:sz w:val="14"/>
          </w:rPr>
          <w:t> </w:t>
        </w:r>
        <w:r>
          <w:rPr>
            <w:color w:val="127EAD"/>
            <w:sz w:val="14"/>
          </w:rPr>
          <w:t>J,</w:t>
        </w:r>
        <w:r>
          <w:rPr>
            <w:color w:val="127EAD"/>
            <w:spacing w:val="-3"/>
            <w:sz w:val="14"/>
          </w:rPr>
          <w:t> </w:t>
        </w:r>
        <w:r>
          <w:rPr>
            <w:color w:val="127EAD"/>
            <w:sz w:val="14"/>
          </w:rPr>
          <w:t>Wein</w:t>
        </w:r>
        <w:r>
          <w:rPr>
            <w:color w:val="127EAD"/>
            <w:spacing w:val="-3"/>
            <w:sz w:val="14"/>
          </w:rPr>
          <w:t> </w:t>
        </w:r>
        <w:r>
          <w:rPr>
            <w:color w:val="127EAD"/>
            <w:sz w:val="14"/>
          </w:rPr>
          <w:t>T,</w:t>
        </w:r>
        <w:r>
          <w:rPr>
            <w:color w:val="127EAD"/>
            <w:spacing w:val="-4"/>
            <w:sz w:val="14"/>
          </w:rPr>
          <w:t> </w:t>
        </w:r>
        <w:r>
          <w:rPr>
            <w:color w:val="127EAD"/>
            <w:sz w:val="14"/>
          </w:rPr>
          <w:t>Phaneuf</w:t>
        </w:r>
        <w:r>
          <w:rPr>
            <w:color w:val="127EAD"/>
            <w:spacing w:val="-2"/>
            <w:sz w:val="14"/>
          </w:rPr>
          <w:t> </w:t>
        </w:r>
        <w:r>
          <w:rPr>
            <w:color w:val="127EAD"/>
            <w:sz w:val="14"/>
          </w:rPr>
          <w:t>D.</w:t>
        </w:r>
        <w:r>
          <w:rPr>
            <w:color w:val="127EAD"/>
            <w:spacing w:val="-3"/>
            <w:sz w:val="14"/>
          </w:rPr>
          <w:t> </w:t>
        </w:r>
        <w:r>
          <w:rPr>
            <w:color w:val="127EAD"/>
            <w:sz w:val="14"/>
          </w:rPr>
          <w:t>Orthostatic</w:t>
        </w:r>
        <w:r>
          <w:rPr>
            <w:color w:val="127EAD"/>
            <w:spacing w:val="-3"/>
            <w:sz w:val="14"/>
          </w:rPr>
          <w:t> </w:t>
        </w:r>
        <w:r>
          <w:rPr>
            <w:color w:val="127EAD"/>
            <w:sz w:val="14"/>
          </w:rPr>
          <w:t>intolerance</w:t>
        </w:r>
        <w:r>
          <w:rPr>
            <w:color w:val="127EAD"/>
            <w:spacing w:val="-3"/>
            <w:sz w:val="14"/>
          </w:rPr>
          <w:t> </w:t>
        </w:r>
        <w:r>
          <w:rPr>
            <w:color w:val="127EAD"/>
            <w:sz w:val="14"/>
          </w:rPr>
          <w:t>in</w:t>
        </w:r>
        <w:r>
          <w:rPr>
            <w:color w:val="127EAD"/>
            <w:spacing w:val="-4"/>
            <w:sz w:val="14"/>
          </w:rPr>
          <w:t> </w:t>
        </w:r>
        <w:r>
          <w:rPr>
            <w:color w:val="127EAD"/>
            <w:sz w:val="14"/>
          </w:rPr>
          <w:t>the</w:t>
        </w:r>
      </w:hyperlink>
      <w:r>
        <w:rPr>
          <w:color w:val="127EAD"/>
          <w:sz w:val="14"/>
        </w:rPr>
        <w:t> </w:t>
      </w:r>
      <w:hyperlink r:id="rId160">
        <w:r>
          <w:rPr>
            <w:color w:val="127EAD"/>
            <w:sz w:val="14"/>
          </w:rPr>
          <w:t>chronic fatigue syndrome. J Auton Nerv Syst. </w:t>
        </w:r>
        <w:r>
          <w:rPr>
            <w:color w:val="127EAD"/>
            <w:spacing w:val="25"/>
            <w:sz w:val="14"/>
          </w:rPr>
          <w:t> </w:t>
        </w:r>
        <w:r>
          <w:rPr>
            <w:color w:val="127EAD"/>
            <w:sz w:val="14"/>
          </w:rPr>
          <w:t>1999;75:192–201</w:t>
        </w:r>
      </w:hyperlink>
      <w:r>
        <w:rPr>
          <w:sz w:val="14"/>
        </w:rPr>
        <w:t>.</w:t>
      </w:r>
    </w:p>
    <w:p>
      <w:pPr>
        <w:pStyle w:val="ListParagraph"/>
        <w:numPr>
          <w:ilvl w:val="3"/>
          <w:numId w:val="3"/>
        </w:numPr>
        <w:tabs>
          <w:tab w:pos="485" w:val="left" w:leader="none"/>
        </w:tabs>
        <w:spacing w:line="247" w:lineRule="auto" w:before="1" w:after="0"/>
        <w:ind w:left="484" w:right="105" w:hanging="367"/>
        <w:jc w:val="both"/>
        <w:rPr>
          <w:sz w:val="14"/>
        </w:rPr>
      </w:pPr>
      <w:hyperlink r:id="rId161">
        <w:r>
          <w:rPr>
            <w:color w:val="127EAD"/>
            <w:sz w:val="14"/>
          </w:rPr>
          <w:t>Staud R. Autonomic dysfunction in fibromyalgia syndrome: postural</w:t>
        </w:r>
      </w:hyperlink>
      <w:r>
        <w:rPr>
          <w:color w:val="127EAD"/>
          <w:sz w:val="14"/>
        </w:rPr>
        <w:t> </w:t>
      </w:r>
      <w:hyperlink r:id="rId161">
        <w:r>
          <w:rPr>
            <w:color w:val="127EAD"/>
            <w:sz w:val="14"/>
          </w:rPr>
          <w:t>orthostatic tachycardia. Curr Rheumatol Rep. </w:t>
        </w:r>
        <w:r>
          <w:rPr>
            <w:color w:val="127EAD"/>
            <w:spacing w:val="3"/>
            <w:sz w:val="14"/>
          </w:rPr>
          <w:t> </w:t>
        </w:r>
        <w:r>
          <w:rPr>
            <w:color w:val="127EAD"/>
            <w:sz w:val="14"/>
          </w:rPr>
          <w:t>2008;10:463–6</w:t>
        </w:r>
      </w:hyperlink>
      <w:r>
        <w:rPr>
          <w:sz w:val="14"/>
        </w:rPr>
        <w:t>.</w:t>
      </w:r>
    </w:p>
    <w:p>
      <w:pPr>
        <w:pStyle w:val="ListParagraph"/>
        <w:numPr>
          <w:ilvl w:val="3"/>
          <w:numId w:val="3"/>
        </w:numPr>
        <w:tabs>
          <w:tab w:pos="485" w:val="left" w:leader="none"/>
        </w:tabs>
        <w:spacing w:line="247" w:lineRule="auto" w:before="0" w:after="0"/>
        <w:ind w:left="484" w:right="104" w:hanging="367"/>
        <w:jc w:val="both"/>
        <w:rPr>
          <w:sz w:val="14"/>
        </w:rPr>
      </w:pPr>
      <w:hyperlink r:id="rId162">
        <w:r>
          <w:rPr>
            <w:color w:val="127EAD"/>
            <w:sz w:val="14"/>
          </w:rPr>
          <w:t>Peebles KC, Tan I, Butlin M, Collins F, Tofts L, Avolio AP, et al. The</w:t>
        </w:r>
      </w:hyperlink>
      <w:r>
        <w:rPr>
          <w:color w:val="127EAD"/>
          <w:sz w:val="14"/>
        </w:rPr>
        <w:t> </w:t>
      </w:r>
      <w:hyperlink r:id="rId162">
        <w:r>
          <w:rPr>
            <w:color w:val="127EAD"/>
            <w:sz w:val="14"/>
          </w:rPr>
          <w:t>prevalence</w:t>
        </w:r>
        <w:r>
          <w:rPr>
            <w:color w:val="127EAD"/>
            <w:spacing w:val="-9"/>
            <w:sz w:val="14"/>
          </w:rPr>
          <w:t> </w:t>
        </w:r>
        <w:r>
          <w:rPr>
            <w:color w:val="127EAD"/>
            <w:sz w:val="14"/>
          </w:rPr>
          <w:t>and</w:t>
        </w:r>
        <w:r>
          <w:rPr>
            <w:color w:val="127EAD"/>
            <w:spacing w:val="-9"/>
            <w:sz w:val="14"/>
          </w:rPr>
          <w:t> </w:t>
        </w:r>
        <w:r>
          <w:rPr>
            <w:color w:val="127EAD"/>
            <w:sz w:val="14"/>
          </w:rPr>
          <w:t>impact</w:t>
        </w:r>
        <w:r>
          <w:rPr>
            <w:color w:val="127EAD"/>
            <w:spacing w:val="-9"/>
            <w:sz w:val="14"/>
          </w:rPr>
          <w:t> </w:t>
        </w:r>
        <w:r>
          <w:rPr>
            <w:color w:val="127EAD"/>
            <w:sz w:val="14"/>
          </w:rPr>
          <w:t>of</w:t>
        </w:r>
        <w:r>
          <w:rPr>
            <w:color w:val="127EAD"/>
            <w:spacing w:val="-9"/>
            <w:sz w:val="14"/>
          </w:rPr>
          <w:t> </w:t>
        </w:r>
        <w:r>
          <w:rPr>
            <w:color w:val="127EAD"/>
            <w:sz w:val="14"/>
          </w:rPr>
          <w:t>orthostatic</w:t>
        </w:r>
        <w:r>
          <w:rPr>
            <w:color w:val="127EAD"/>
            <w:spacing w:val="-9"/>
            <w:sz w:val="14"/>
          </w:rPr>
          <w:t> </w:t>
        </w:r>
        <w:r>
          <w:rPr>
            <w:color w:val="127EAD"/>
            <w:sz w:val="14"/>
          </w:rPr>
          <w:t>intolerance</w:t>
        </w:r>
        <w:r>
          <w:rPr>
            <w:color w:val="127EAD"/>
            <w:spacing w:val="-9"/>
            <w:sz w:val="14"/>
          </w:rPr>
          <w:t> </w:t>
        </w:r>
        <w:r>
          <w:rPr>
            <w:color w:val="127EAD"/>
            <w:sz w:val="14"/>
          </w:rPr>
          <w:t>in</w:t>
        </w:r>
        <w:r>
          <w:rPr>
            <w:color w:val="127EAD"/>
            <w:spacing w:val="-10"/>
            <w:sz w:val="14"/>
          </w:rPr>
          <w:t> </w:t>
        </w:r>
        <w:r>
          <w:rPr>
            <w:color w:val="127EAD"/>
            <w:sz w:val="14"/>
          </w:rPr>
          <w:t>young</w:t>
        </w:r>
        <w:r>
          <w:rPr>
            <w:color w:val="127EAD"/>
            <w:spacing w:val="-9"/>
            <w:sz w:val="14"/>
          </w:rPr>
          <w:t> </w:t>
        </w:r>
        <w:r>
          <w:rPr>
            <w:color w:val="127EAD"/>
            <w:sz w:val="14"/>
          </w:rPr>
          <w:t>women</w:t>
        </w:r>
        <w:r>
          <w:rPr>
            <w:color w:val="127EAD"/>
            <w:spacing w:val="-9"/>
            <w:sz w:val="14"/>
          </w:rPr>
          <w:t> </w:t>
        </w:r>
        <w:r>
          <w:rPr>
            <w:color w:val="127EAD"/>
            <w:sz w:val="14"/>
          </w:rPr>
          <w:t>across</w:t>
        </w:r>
      </w:hyperlink>
      <w:r>
        <w:rPr>
          <w:color w:val="127EAD"/>
          <w:sz w:val="14"/>
        </w:rPr>
        <w:t> </w:t>
      </w:r>
      <w:bookmarkStart w:name="_bookmark134" w:id="164"/>
      <w:bookmarkEnd w:id="164"/>
      <w:r>
        <w:rPr>
          <w:color w:val="127EAD"/>
          <w:sz w:val="14"/>
        </w:rPr>
      </w:r>
      <w:hyperlink r:id="rId162">
        <w:r>
          <w:rPr>
            <w:color w:val="127EAD"/>
            <w:sz w:val="14"/>
          </w:rPr>
          <w:t>the hypermobility spectrum. Am J Med Genet A.</w:t>
        </w:r>
        <w:r>
          <w:rPr>
            <w:color w:val="127EAD"/>
            <w:spacing w:val="-20"/>
            <w:sz w:val="14"/>
          </w:rPr>
          <w:t> </w:t>
        </w:r>
        <w:r>
          <w:rPr>
            <w:color w:val="127EAD"/>
            <w:sz w:val="14"/>
          </w:rPr>
          <w:t>2022;188:1761–76</w:t>
        </w:r>
      </w:hyperlink>
      <w:r>
        <w:rPr>
          <w:sz w:val="14"/>
        </w:rPr>
        <w:t>.</w:t>
      </w:r>
    </w:p>
    <w:p>
      <w:pPr>
        <w:pStyle w:val="ListParagraph"/>
        <w:numPr>
          <w:ilvl w:val="3"/>
          <w:numId w:val="3"/>
        </w:numPr>
        <w:tabs>
          <w:tab w:pos="485" w:val="left" w:leader="none"/>
        </w:tabs>
        <w:spacing w:line="247" w:lineRule="auto" w:before="0" w:after="0"/>
        <w:ind w:left="484" w:right="104" w:hanging="367"/>
        <w:jc w:val="both"/>
        <w:rPr>
          <w:sz w:val="14"/>
        </w:rPr>
      </w:pPr>
      <w:r>
        <w:rPr>
          <w:sz w:val="14"/>
        </w:rPr>
        <w:t>The</w:t>
      </w:r>
      <w:r>
        <w:rPr>
          <w:spacing w:val="-5"/>
          <w:sz w:val="14"/>
        </w:rPr>
        <w:t> </w:t>
      </w:r>
      <w:r>
        <w:rPr>
          <w:sz w:val="14"/>
        </w:rPr>
        <w:t>Australian</w:t>
      </w:r>
      <w:r>
        <w:rPr>
          <w:spacing w:val="-4"/>
          <w:sz w:val="14"/>
        </w:rPr>
        <w:t> </w:t>
      </w:r>
      <w:r>
        <w:rPr>
          <w:sz w:val="14"/>
        </w:rPr>
        <w:t>POTS</w:t>
      </w:r>
      <w:r>
        <w:rPr>
          <w:spacing w:val="-4"/>
          <w:sz w:val="14"/>
        </w:rPr>
        <w:t> </w:t>
      </w:r>
      <w:r>
        <w:rPr>
          <w:sz w:val="14"/>
        </w:rPr>
        <w:t>Foundation.</w:t>
      </w:r>
      <w:r>
        <w:rPr>
          <w:spacing w:val="-5"/>
          <w:sz w:val="14"/>
        </w:rPr>
        <w:t> </w:t>
      </w:r>
      <w:r>
        <w:rPr>
          <w:sz w:val="14"/>
        </w:rPr>
        <w:t>Lived</w:t>
      </w:r>
      <w:r>
        <w:rPr>
          <w:spacing w:val="-4"/>
          <w:sz w:val="14"/>
        </w:rPr>
        <w:t> </w:t>
      </w:r>
      <w:r>
        <w:rPr>
          <w:sz w:val="14"/>
        </w:rPr>
        <w:t>experience</w:t>
      </w:r>
      <w:r>
        <w:rPr>
          <w:spacing w:val="-4"/>
          <w:sz w:val="14"/>
        </w:rPr>
        <w:t> </w:t>
      </w:r>
      <w:r>
        <w:rPr>
          <w:sz w:val="14"/>
        </w:rPr>
        <w:t>engagement</w:t>
      </w:r>
      <w:r>
        <w:rPr>
          <w:spacing w:val="-5"/>
          <w:sz w:val="14"/>
        </w:rPr>
        <w:t> </w:t>
      </w:r>
      <w:r>
        <w:rPr>
          <w:sz w:val="14"/>
        </w:rPr>
        <w:t>frame- work: guiding principles for ethical, inclusive and sustainable partner- ships. Available at: </w:t>
      </w:r>
      <w:hyperlink r:id="rId163">
        <w:r>
          <w:rPr>
            <w:color w:val="127EAD"/>
            <w:spacing w:val="-2"/>
            <w:sz w:val="14"/>
          </w:rPr>
          <w:t>https://potsfoundation.org.au/wp-content/</w:t>
        </w:r>
      </w:hyperlink>
      <w:r>
        <w:rPr>
          <w:color w:val="127EAD"/>
          <w:spacing w:val="31"/>
          <w:sz w:val="14"/>
        </w:rPr>
        <w:t> </w:t>
      </w:r>
      <w:hyperlink r:id="rId163">
        <w:r>
          <w:rPr>
            <w:color w:val="127EAD"/>
            <w:sz w:val="14"/>
          </w:rPr>
          <w:t>uploads/2025/07/Australian-POTS-Foundation-_-Lived-Experience-</w:t>
        </w:r>
      </w:hyperlink>
      <w:r>
        <w:rPr>
          <w:color w:val="127EAD"/>
          <w:sz w:val="14"/>
        </w:rPr>
        <w:t> </w:t>
      </w:r>
      <w:hyperlink r:id="rId163">
        <w:r>
          <w:rPr>
            <w:color w:val="127EAD"/>
            <w:spacing w:val="-1"/>
            <w:w w:val="95"/>
            <w:sz w:val="14"/>
          </w:rPr>
          <w:t>Engagement-Framework.pdf</w:t>
        </w:r>
      </w:hyperlink>
      <w:r>
        <w:rPr>
          <w:spacing w:val="-1"/>
          <w:w w:val="95"/>
          <w:sz w:val="14"/>
        </w:rPr>
        <w:t>.  [accessed </w:t>
      </w:r>
      <w:r>
        <w:rPr>
          <w:spacing w:val="28"/>
          <w:w w:val="95"/>
          <w:sz w:val="14"/>
        </w:rPr>
        <w:t> </w:t>
      </w:r>
      <w:r>
        <w:rPr>
          <w:spacing w:val="-1"/>
          <w:w w:val="95"/>
          <w:sz w:val="14"/>
        </w:rPr>
        <w:t>2.1.26].</w:t>
      </w:r>
    </w:p>
    <w:sectPr>
      <w:type w:val="continuous"/>
      <w:pgSz w:w="11910" w:h="15880"/>
      <w:pgMar w:top="660" w:bottom="280" w:left="840" w:right="780"/>
      <w:cols w:num="2" w:equalWidth="0">
        <w:col w:w="5153" w:space="126"/>
        <w:col w:w="5011"/>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Lucida Sans">
    <w:altName w:val="Lucida Sans"/>
    <w:charset w:val="0"/>
    <w:family w:val="swiss"/>
    <w:pitch w:val="variable"/>
  </w:font>
  <w:font w:name="Arial">
    <w:altName w:val="Arial"/>
    <w:charset w:val="0"/>
    <w:family w:val="swiss"/>
    <w:pitch w:val="variable"/>
  </w:font>
  <w:font w:name="Book Antiqua">
    <w:altName w:val="Book Antiqua"/>
    <w:charset w:val="0"/>
    <w:family w:val="roman"/>
    <w:pitch w:val="variable"/>
  </w:font>
  <w:font w:name="Lucida Sans Unicode">
    <w:altName w:val="Lucida Sans Unicode"/>
    <w:charset w:val="0"/>
    <w:family w:val="swiss"/>
    <w:pitch w:val="variable"/>
  </w:font>
  <w:font w:name="Symbol">
    <w:altName w:val="Symbol"/>
    <w:charset w:val="2"/>
    <w:family w:val="roman"/>
    <w:pitch w:val="variable"/>
  </w:font>
  <w:font w:name="MS UI Gothic">
    <w:altName w:val="MS UI Gothic"/>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1776" from="44.3237pt,42.549957pt" to="547.437073pt,42.549957pt" stroked="true" strokeweight=".497986pt" strokecolor="#e53527">
          <v:stroke dashstyle="solid"/>
          <w10:wrap type="none"/>
        </v:line>
      </w:pict>
    </w:r>
    <w:r>
      <w:rPr/>
      <w:pict>
        <v:shape style="position:absolute;margin-left:42.333797pt;margin-top:22.563478pt;width:18.95pt;height:13.9pt;mso-position-horizontal-relative:page;mso-position-vertical-relative:page;z-index:-41752" type="#_x0000_t202" filled="false" stroked="false">
          <v:textbox inset="0,0,0,0">
            <w:txbxContent>
              <w:p>
                <w:pPr>
                  <w:spacing w:before="16"/>
                  <w:ind w:left="40" w:right="0" w:firstLine="0"/>
                  <w:jc w:val="left"/>
                  <w:rPr>
                    <w:b/>
                    <w:sz w:val="20"/>
                  </w:rPr>
                </w:pPr>
                <w:r>
                  <w:rPr/>
                  <w:fldChar w:fldCharType="begin"/>
                </w:r>
                <w:r>
                  <w:rPr>
                    <w:b/>
                    <w:sz w:val="20"/>
                  </w:rPr>
                  <w:instrText> PAGE </w:instrText>
                </w:r>
                <w:r>
                  <w:rPr/>
                  <w:fldChar w:fldCharType="separate"/>
                </w:r>
                <w:r>
                  <w:rPr/>
                  <w:t>172</w:t>
                </w:r>
                <w:r>
                  <w:rPr/>
                  <w:fldChar w:fldCharType="end"/>
                </w:r>
              </w:p>
            </w:txbxContent>
          </v:textbox>
          <w10:wrap type="none"/>
        </v:shape>
      </w:pict>
    </w:r>
    <w:r>
      <w:rPr/>
      <w:pict>
        <v:shape style="position:absolute;margin-left:491.377991pt;margin-top:23.9189pt;width:57.1pt;height:12.25pt;mso-position-horizontal-relative:page;mso-position-vertical-relative:page;z-index:-41728" type="#_x0000_t202" filled="false" stroked="false">
          <v:textbox inset="0,0,0,0">
            <w:txbxContent>
              <w:p>
                <w:pPr>
                  <w:spacing w:before="13"/>
                  <w:ind w:left="20" w:right="0" w:firstLine="0"/>
                  <w:jc w:val="left"/>
                  <w:rPr>
                    <w:i/>
                    <w:sz w:val="17"/>
                  </w:rPr>
                </w:pPr>
                <w:r>
                  <w:rPr>
                    <w:sz w:val="17"/>
                  </w:rPr>
                  <w:t>D.H. Lau </w:t>
                </w:r>
                <w:r>
                  <w:rPr>
                    <w:i/>
                    <w:sz w:val="17"/>
                  </w:rPr>
                  <w:t>et al.</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1704" from="47.820801pt,42.519928pt" to="550.934082pt,42.519928pt" stroked="true" strokeweight=".497986pt" strokecolor="#e53527">
          <v:stroke dashstyle="solid"/>
          <w10:wrap type="none"/>
        </v:line>
      </w:pict>
    </w:r>
    <w:r>
      <w:rPr/>
      <w:pict>
        <v:shape style="position:absolute;margin-left:533.975037pt;margin-top:22.506533pt;width:18.95pt;height:13.9pt;mso-position-horizontal-relative:page;mso-position-vertical-relative:page;z-index:-41680" type="#_x0000_t202" filled="false" stroked="false">
          <v:textbox inset="0,0,0,0">
            <w:txbxContent>
              <w:p>
                <w:pPr>
                  <w:spacing w:before="16"/>
                  <w:ind w:left="40" w:right="0" w:firstLine="0"/>
                  <w:jc w:val="left"/>
                  <w:rPr>
                    <w:b/>
                    <w:sz w:val="20"/>
                  </w:rPr>
                </w:pPr>
                <w:r>
                  <w:rPr/>
                  <w:fldChar w:fldCharType="begin"/>
                </w:r>
                <w:r>
                  <w:rPr>
                    <w:b/>
                    <w:sz w:val="20"/>
                  </w:rPr>
                  <w:instrText> PAGE </w:instrText>
                </w:r>
                <w:r>
                  <w:rPr/>
                  <w:fldChar w:fldCharType="separate"/>
                </w:r>
                <w:r>
                  <w:rPr/>
                  <w:t>173</w:t>
                </w:r>
                <w:r>
                  <w:rPr/>
                  <w:fldChar w:fldCharType="end"/>
                </w:r>
              </w:p>
            </w:txbxContent>
          </v:textbox>
          <w10:wrap type="none"/>
        </v:shape>
      </w:pict>
    </w:r>
    <w:r>
      <w:rPr/>
      <w:pict>
        <v:shape style="position:absolute;margin-left:46.848801pt;margin-top:23.861954pt;width:54.25pt;height:12.25pt;mso-position-horizontal-relative:page;mso-position-vertical-relative:page;z-index:-41656" type="#_x0000_t202" filled="false" stroked="false">
          <v:textbox inset="0,0,0,0">
            <w:txbxContent>
              <w:p>
                <w:pPr>
                  <w:spacing w:before="13"/>
                  <w:ind w:left="20" w:right="0" w:firstLine="0"/>
                  <w:jc w:val="left"/>
                  <w:rPr>
                    <w:sz w:val="17"/>
                  </w:rPr>
                </w:pPr>
                <w:r>
                  <w:rPr>
                    <w:sz w:val="17"/>
                  </w:rPr>
                  <w:t>POTS Review</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474" w:hanging="167"/>
      </w:pPr>
      <w:rPr>
        <w:rFonts w:hint="default" w:ascii="Arial" w:hAnsi="Arial" w:eastAsia="Arial" w:cs="Arial"/>
        <w:w w:val="180"/>
        <w:sz w:val="8"/>
        <w:szCs w:val="8"/>
      </w:rPr>
    </w:lvl>
    <w:lvl w:ilvl="1">
      <w:start w:val="0"/>
      <w:numFmt w:val="bullet"/>
      <w:lvlText w:val="-"/>
      <w:lvlJc w:val="left"/>
      <w:pPr>
        <w:ind w:left="608" w:hanging="133"/>
      </w:pPr>
      <w:rPr>
        <w:rFonts w:hint="default" w:ascii="Book Antiqua" w:hAnsi="Book Antiqua" w:eastAsia="Book Antiqua" w:cs="Book Antiqua"/>
        <w:w w:val="99"/>
        <w:sz w:val="16"/>
        <w:szCs w:val="16"/>
      </w:rPr>
    </w:lvl>
    <w:lvl w:ilvl="2">
      <w:start w:val="0"/>
      <w:numFmt w:val="bullet"/>
      <w:lvlText w:val="•"/>
      <w:lvlJc w:val="left"/>
      <w:pPr>
        <w:ind w:left="1284" w:hanging="133"/>
      </w:pPr>
      <w:rPr>
        <w:rFonts w:hint="default"/>
      </w:rPr>
    </w:lvl>
    <w:lvl w:ilvl="3">
      <w:start w:val="0"/>
      <w:numFmt w:val="bullet"/>
      <w:lvlText w:val="•"/>
      <w:lvlJc w:val="left"/>
      <w:pPr>
        <w:ind w:left="1969" w:hanging="133"/>
      </w:pPr>
      <w:rPr>
        <w:rFonts w:hint="default"/>
      </w:rPr>
    </w:lvl>
    <w:lvl w:ilvl="4">
      <w:start w:val="0"/>
      <w:numFmt w:val="bullet"/>
      <w:lvlText w:val="•"/>
      <w:lvlJc w:val="left"/>
      <w:pPr>
        <w:ind w:left="2653" w:hanging="133"/>
      </w:pPr>
      <w:rPr>
        <w:rFonts w:hint="default"/>
      </w:rPr>
    </w:lvl>
    <w:lvl w:ilvl="5">
      <w:start w:val="0"/>
      <w:numFmt w:val="bullet"/>
      <w:lvlText w:val="•"/>
      <w:lvlJc w:val="left"/>
      <w:pPr>
        <w:ind w:left="3338" w:hanging="133"/>
      </w:pPr>
      <w:rPr>
        <w:rFonts w:hint="default"/>
      </w:rPr>
    </w:lvl>
    <w:lvl w:ilvl="6">
      <w:start w:val="0"/>
      <w:numFmt w:val="bullet"/>
      <w:lvlText w:val="•"/>
      <w:lvlJc w:val="left"/>
      <w:pPr>
        <w:ind w:left="4023" w:hanging="133"/>
      </w:pPr>
      <w:rPr>
        <w:rFonts w:hint="default"/>
      </w:rPr>
    </w:lvl>
    <w:lvl w:ilvl="7">
      <w:start w:val="0"/>
      <w:numFmt w:val="bullet"/>
      <w:lvlText w:val="•"/>
      <w:lvlJc w:val="left"/>
      <w:pPr>
        <w:ind w:left="4707" w:hanging="133"/>
      </w:pPr>
      <w:rPr>
        <w:rFonts w:hint="default"/>
      </w:rPr>
    </w:lvl>
    <w:lvl w:ilvl="8">
      <w:start w:val="0"/>
      <w:numFmt w:val="bullet"/>
      <w:lvlText w:val="•"/>
      <w:lvlJc w:val="left"/>
      <w:pPr>
        <w:ind w:left="5392" w:hanging="133"/>
      </w:pPr>
      <w:rPr>
        <w:rFonts w:hint="default"/>
      </w:rPr>
    </w:lvl>
  </w:abstractNum>
  <w:abstractNum w:abstractNumId="2">
    <w:multiLevelType w:val="hybridMultilevel"/>
    <w:lvl w:ilvl="0">
      <w:start w:val="4"/>
      <w:numFmt w:val="upperLetter"/>
      <w:lvlText w:val="%1"/>
      <w:lvlJc w:val="left"/>
      <w:pPr>
        <w:ind w:left="106" w:hanging="489"/>
        <w:jc w:val="left"/>
      </w:pPr>
      <w:rPr>
        <w:rFonts w:hint="default"/>
      </w:rPr>
    </w:lvl>
    <w:lvl w:ilvl="1">
      <w:start w:val="8"/>
      <w:numFmt w:val="upperLetter"/>
      <w:lvlText w:val="%1.%2"/>
      <w:lvlJc w:val="left"/>
      <w:pPr>
        <w:ind w:left="106" w:hanging="489"/>
        <w:jc w:val="left"/>
      </w:pPr>
      <w:rPr>
        <w:rFonts w:hint="default"/>
      </w:rPr>
    </w:lvl>
    <w:lvl w:ilvl="2">
      <w:start w:val="12"/>
      <w:numFmt w:val="upperLetter"/>
      <w:lvlText w:val="%1.%2.%3"/>
      <w:lvlJc w:val="left"/>
      <w:pPr>
        <w:ind w:left="106" w:hanging="489"/>
        <w:jc w:val="left"/>
      </w:pPr>
      <w:rPr>
        <w:rFonts w:hint="default" w:ascii="Book Antiqua" w:hAnsi="Book Antiqua" w:eastAsia="Book Antiqua" w:cs="Book Antiqua"/>
        <w:spacing w:val="-10"/>
        <w:w w:val="99"/>
        <w:sz w:val="18"/>
        <w:szCs w:val="18"/>
      </w:rPr>
    </w:lvl>
    <w:lvl w:ilvl="3">
      <w:start w:val="1"/>
      <w:numFmt w:val="decimal"/>
      <w:lvlText w:val="[%4]"/>
      <w:lvlJc w:val="left"/>
      <w:pPr>
        <w:ind w:left="483" w:hanging="227"/>
        <w:jc w:val="right"/>
      </w:pPr>
      <w:rPr>
        <w:rFonts w:hint="default" w:ascii="Book Antiqua" w:hAnsi="Book Antiqua" w:eastAsia="Book Antiqua" w:cs="Book Antiqua"/>
        <w:w w:val="99"/>
        <w:sz w:val="14"/>
        <w:szCs w:val="14"/>
      </w:rPr>
    </w:lvl>
    <w:lvl w:ilvl="4">
      <w:start w:val="0"/>
      <w:numFmt w:val="bullet"/>
      <w:lvlText w:val="•"/>
      <w:lvlJc w:val="left"/>
      <w:pPr>
        <w:ind w:left="297" w:hanging="227"/>
      </w:pPr>
      <w:rPr>
        <w:rFonts w:hint="default"/>
      </w:rPr>
    </w:lvl>
    <w:lvl w:ilvl="5">
      <w:start w:val="0"/>
      <w:numFmt w:val="bullet"/>
      <w:lvlText w:val="•"/>
      <w:lvlJc w:val="left"/>
      <w:pPr>
        <w:ind w:left="236" w:hanging="227"/>
      </w:pPr>
      <w:rPr>
        <w:rFonts w:hint="default"/>
      </w:rPr>
    </w:lvl>
    <w:lvl w:ilvl="6">
      <w:start w:val="0"/>
      <w:numFmt w:val="bullet"/>
      <w:lvlText w:val="•"/>
      <w:lvlJc w:val="left"/>
      <w:pPr>
        <w:ind w:left="175" w:hanging="227"/>
      </w:pPr>
      <w:rPr>
        <w:rFonts w:hint="default"/>
      </w:rPr>
    </w:lvl>
    <w:lvl w:ilvl="7">
      <w:start w:val="0"/>
      <w:numFmt w:val="bullet"/>
      <w:lvlText w:val="•"/>
      <w:lvlJc w:val="left"/>
      <w:pPr>
        <w:ind w:left="115" w:hanging="227"/>
      </w:pPr>
      <w:rPr>
        <w:rFonts w:hint="default"/>
      </w:rPr>
    </w:lvl>
    <w:lvl w:ilvl="8">
      <w:start w:val="0"/>
      <w:numFmt w:val="bullet"/>
      <w:lvlText w:val="•"/>
      <w:lvlJc w:val="left"/>
      <w:pPr>
        <w:ind w:left="54" w:hanging="227"/>
      </w:pPr>
      <w:rPr>
        <w:rFonts w:hint="default"/>
      </w:rPr>
    </w:lvl>
  </w:abstractNum>
  <w:abstractNum w:abstractNumId="1">
    <w:multiLevelType w:val="hybridMultilevel"/>
    <w:lvl w:ilvl="0">
      <w:start w:val="0"/>
      <w:numFmt w:val="bullet"/>
      <w:lvlText w:val="❖"/>
      <w:lvlJc w:val="left"/>
      <w:pPr>
        <w:ind w:left="522" w:hanging="223"/>
      </w:pPr>
      <w:rPr>
        <w:rFonts w:hint="default" w:ascii="MS UI Gothic" w:hAnsi="MS UI Gothic" w:eastAsia="MS UI Gothic" w:cs="MS UI Gothic"/>
        <w:w w:val="89"/>
        <w:sz w:val="16"/>
        <w:szCs w:val="16"/>
      </w:rPr>
    </w:lvl>
    <w:lvl w:ilvl="1">
      <w:start w:val="0"/>
      <w:numFmt w:val="bullet"/>
      <w:lvlText w:val="•"/>
      <w:lvlJc w:val="left"/>
      <w:pPr>
        <w:ind w:left="816" w:hanging="223"/>
      </w:pPr>
      <w:rPr>
        <w:rFonts w:hint="default"/>
      </w:rPr>
    </w:lvl>
    <w:lvl w:ilvl="2">
      <w:start w:val="0"/>
      <w:numFmt w:val="bullet"/>
      <w:lvlText w:val="•"/>
      <w:lvlJc w:val="left"/>
      <w:pPr>
        <w:ind w:left="1112" w:hanging="223"/>
      </w:pPr>
      <w:rPr>
        <w:rFonts w:hint="default"/>
      </w:rPr>
    </w:lvl>
    <w:lvl w:ilvl="3">
      <w:start w:val="0"/>
      <w:numFmt w:val="bullet"/>
      <w:lvlText w:val="•"/>
      <w:lvlJc w:val="left"/>
      <w:pPr>
        <w:ind w:left="1409" w:hanging="223"/>
      </w:pPr>
      <w:rPr>
        <w:rFonts w:hint="default"/>
      </w:rPr>
    </w:lvl>
    <w:lvl w:ilvl="4">
      <w:start w:val="0"/>
      <w:numFmt w:val="bullet"/>
      <w:lvlText w:val="•"/>
      <w:lvlJc w:val="left"/>
      <w:pPr>
        <w:ind w:left="1705" w:hanging="223"/>
      </w:pPr>
      <w:rPr>
        <w:rFonts w:hint="default"/>
      </w:rPr>
    </w:lvl>
    <w:lvl w:ilvl="5">
      <w:start w:val="0"/>
      <w:numFmt w:val="bullet"/>
      <w:lvlText w:val="•"/>
      <w:lvlJc w:val="left"/>
      <w:pPr>
        <w:ind w:left="2001" w:hanging="223"/>
      </w:pPr>
      <w:rPr>
        <w:rFonts w:hint="default"/>
      </w:rPr>
    </w:lvl>
    <w:lvl w:ilvl="6">
      <w:start w:val="0"/>
      <w:numFmt w:val="bullet"/>
      <w:lvlText w:val="•"/>
      <w:lvlJc w:val="left"/>
      <w:pPr>
        <w:ind w:left="2298" w:hanging="223"/>
      </w:pPr>
      <w:rPr>
        <w:rFonts w:hint="default"/>
      </w:rPr>
    </w:lvl>
    <w:lvl w:ilvl="7">
      <w:start w:val="0"/>
      <w:numFmt w:val="bullet"/>
      <w:lvlText w:val="•"/>
      <w:lvlJc w:val="left"/>
      <w:pPr>
        <w:ind w:left="2594" w:hanging="223"/>
      </w:pPr>
      <w:rPr>
        <w:rFonts w:hint="default"/>
      </w:rPr>
    </w:lvl>
    <w:lvl w:ilvl="8">
      <w:start w:val="0"/>
      <w:numFmt w:val="bullet"/>
      <w:lvlText w:val="•"/>
      <w:lvlJc w:val="left"/>
      <w:pPr>
        <w:ind w:left="2890" w:hanging="223"/>
      </w:pPr>
      <w:rPr>
        <w:rFonts w:hint="default"/>
      </w:rPr>
    </w:lvl>
  </w:abstractNum>
  <w:num w:numId="1">
    <w:abstractNumId w:val="0"/>
  </w:num>
  <w:num w:numId="3">
    <w:abstractNumId w:val="2"/>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Book Antiqua" w:hAnsi="Book Antiqua" w:eastAsia="Book Antiqua" w:cs="Book Antiqua"/>
    </w:rPr>
  </w:style>
  <w:style w:styleId="BodyText" w:type="paragraph">
    <w:name w:val="Body Text"/>
    <w:basedOn w:val="Normal"/>
    <w:uiPriority w:val="1"/>
    <w:qFormat/>
    <w:pPr/>
    <w:rPr>
      <w:rFonts w:ascii="Book Antiqua" w:hAnsi="Book Antiqua" w:eastAsia="Book Antiqua" w:cs="Book Antiqua"/>
      <w:sz w:val="18"/>
      <w:szCs w:val="18"/>
    </w:rPr>
  </w:style>
  <w:style w:styleId="Heading1" w:type="paragraph">
    <w:name w:val="Heading 1"/>
    <w:basedOn w:val="Normal"/>
    <w:uiPriority w:val="1"/>
    <w:qFormat/>
    <w:pPr>
      <w:ind w:left="106"/>
      <w:jc w:val="both"/>
      <w:outlineLvl w:val="1"/>
    </w:pPr>
    <w:rPr>
      <w:rFonts w:ascii="Book Antiqua" w:hAnsi="Book Antiqua" w:eastAsia="Book Antiqua" w:cs="Book Antiqua"/>
      <w:b/>
      <w:bCs/>
      <w:sz w:val="30"/>
      <w:szCs w:val="30"/>
    </w:rPr>
  </w:style>
  <w:style w:styleId="Heading2" w:type="paragraph">
    <w:name w:val="Heading 2"/>
    <w:basedOn w:val="Normal"/>
    <w:uiPriority w:val="1"/>
    <w:qFormat/>
    <w:pPr>
      <w:ind w:left="106"/>
      <w:jc w:val="both"/>
      <w:outlineLvl w:val="2"/>
    </w:pPr>
    <w:rPr>
      <w:rFonts w:ascii="Book Antiqua" w:hAnsi="Book Antiqua" w:eastAsia="Book Antiqua" w:cs="Book Antiqua"/>
      <w:b/>
      <w:bCs/>
      <w:sz w:val="25"/>
      <w:szCs w:val="25"/>
    </w:rPr>
  </w:style>
  <w:style w:styleId="Heading3" w:type="paragraph">
    <w:name w:val="Heading 3"/>
    <w:basedOn w:val="Normal"/>
    <w:uiPriority w:val="1"/>
    <w:qFormat/>
    <w:pPr>
      <w:spacing w:line="212" w:lineRule="exact"/>
      <w:ind w:left="106"/>
      <w:jc w:val="both"/>
      <w:outlineLvl w:val="3"/>
    </w:pPr>
    <w:rPr>
      <w:rFonts w:ascii="Book Antiqua" w:hAnsi="Book Antiqua" w:eastAsia="Book Antiqua" w:cs="Book Antiqua"/>
      <w:b/>
      <w:bCs/>
      <w:sz w:val="18"/>
      <w:szCs w:val="18"/>
    </w:rPr>
  </w:style>
  <w:style w:styleId="ListParagraph" w:type="paragraph">
    <w:name w:val="List Paragraph"/>
    <w:basedOn w:val="Normal"/>
    <w:uiPriority w:val="1"/>
    <w:qFormat/>
    <w:pPr>
      <w:ind w:left="472" w:right="252" w:hanging="297"/>
      <w:jc w:val="both"/>
    </w:pPr>
    <w:rPr>
      <w:rFonts w:ascii="Book Antiqua" w:hAnsi="Book Antiqua" w:eastAsia="Book Antiqua" w:cs="Book Antiqua"/>
    </w:rPr>
  </w:style>
  <w:style w:styleId="TableParagraph" w:type="paragraph">
    <w:name w:val="Table Paragraph"/>
    <w:basedOn w:val="Normal"/>
    <w:uiPriority w:val="1"/>
    <w:qFormat/>
    <w:pPr>
      <w:spacing w:before="17"/>
      <w:ind w:left="159"/>
    </w:pPr>
    <w:rPr>
      <w:rFonts w:ascii="Book Antiqua" w:hAnsi="Book Antiqua" w:eastAsia="Book Antiqua" w:cs="Book Antiqu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https://doi.org/10.1016/j.hlc.2025.09.004" TargetMode="Externa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hyperlink" Target="mailto:dennis.h.lau@adelaide.edu.au" TargetMode="External"/><Relationship Id="rId11" Type="http://schemas.openxmlformats.org/officeDocument/2006/relationships/image" Target="media/image5.png"/><Relationship Id="rId12" Type="http://schemas.openxmlformats.org/officeDocument/2006/relationships/hyperlink" Target="https://twitter.com/DH_Lau" TargetMode="External"/><Relationship Id="rId13" Type="http://schemas.openxmlformats.org/officeDocument/2006/relationships/hyperlink" Target="http://creativecommons.org/licenses/by/4.0/" TargetMode="External"/><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jpeg"/><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jpeg"/><Relationship Id="rId23" Type="http://schemas.openxmlformats.org/officeDocument/2006/relationships/image" Target="media/image13.png"/><Relationship Id="rId24" Type="http://schemas.openxmlformats.org/officeDocument/2006/relationships/image" Target="media/image14.jpe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30" Type="http://schemas.openxmlformats.org/officeDocument/2006/relationships/image" Target="media/image20.png"/><Relationship Id="rId31" Type="http://schemas.openxmlformats.org/officeDocument/2006/relationships/image" Target="media/image21.jpeg"/><Relationship Id="rId32" Type="http://schemas.openxmlformats.org/officeDocument/2006/relationships/image" Target="media/image22.png"/><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png"/><Relationship Id="rId37" Type="http://schemas.openxmlformats.org/officeDocument/2006/relationships/hyperlink" Target="http://refhub.elsevier.com/S1443-9506(25)01654-3/sref1" TargetMode="External"/><Relationship Id="rId38" Type="http://schemas.openxmlformats.org/officeDocument/2006/relationships/hyperlink" Target="http://refhub.elsevier.com/S1443-9506(25)01654-3/sref2" TargetMode="External"/><Relationship Id="rId39" Type="http://schemas.openxmlformats.org/officeDocument/2006/relationships/hyperlink" Target="http://refhub.elsevier.com/S1443-9506(25)01654-3/sref3" TargetMode="External"/><Relationship Id="rId40" Type="http://schemas.openxmlformats.org/officeDocument/2006/relationships/hyperlink" Target="http://refhub.elsevier.com/S1443-9506(25)01654-3/sref4" TargetMode="External"/><Relationship Id="rId41" Type="http://schemas.openxmlformats.org/officeDocument/2006/relationships/hyperlink" Target="http://refhub.elsevier.com/S1443-9506(25)01654-3/sref5" TargetMode="External"/><Relationship Id="rId42" Type="http://schemas.openxmlformats.org/officeDocument/2006/relationships/hyperlink" Target="http://refhub.elsevier.com/S1443-9506(25)01654-3/sref6" TargetMode="External"/><Relationship Id="rId43" Type="http://schemas.openxmlformats.org/officeDocument/2006/relationships/hyperlink" Target="http://refhub.elsevier.com/S1443-9506(25)01654-3/sref7" TargetMode="External"/><Relationship Id="rId44" Type="http://schemas.openxmlformats.org/officeDocument/2006/relationships/hyperlink" Target="http://refhub.elsevier.com/S1443-9506(25)01654-3/sref8" TargetMode="External"/><Relationship Id="rId45" Type="http://schemas.openxmlformats.org/officeDocument/2006/relationships/hyperlink" Target="http://refhub.elsevier.com/S1443-9506(25)01654-3/sref9" TargetMode="External"/><Relationship Id="rId46" Type="http://schemas.openxmlformats.org/officeDocument/2006/relationships/hyperlink" Target="http://refhub.elsevier.com/S1443-9506(25)01654-3/sref10" TargetMode="External"/><Relationship Id="rId47" Type="http://schemas.openxmlformats.org/officeDocument/2006/relationships/hyperlink" Target="http://refhub.elsevier.com/S1443-9506(25)01654-3/sref11" TargetMode="External"/><Relationship Id="rId48" Type="http://schemas.openxmlformats.org/officeDocument/2006/relationships/hyperlink" Target="http://refhub.elsevier.com/S1443-9506(25)01654-3/sref12" TargetMode="External"/><Relationship Id="rId49" Type="http://schemas.openxmlformats.org/officeDocument/2006/relationships/hyperlink" Target="http://refhub.elsevier.com/S1443-9506(25)01654-3/sref13" TargetMode="External"/><Relationship Id="rId50" Type="http://schemas.openxmlformats.org/officeDocument/2006/relationships/hyperlink" Target="http://refhub.elsevier.com/S1443-9506(25)01654-3/sref14" TargetMode="External"/><Relationship Id="rId51" Type="http://schemas.openxmlformats.org/officeDocument/2006/relationships/hyperlink" Target="http://refhub.elsevier.com/S1443-9506(25)01654-3/sref15" TargetMode="External"/><Relationship Id="rId52" Type="http://schemas.openxmlformats.org/officeDocument/2006/relationships/hyperlink" Target="http://refhub.elsevier.com/S1443-9506(25)01654-3/sref16" TargetMode="External"/><Relationship Id="rId53" Type="http://schemas.openxmlformats.org/officeDocument/2006/relationships/hyperlink" Target="http://refhub.elsevier.com/S1443-9506(25)01654-3/sref17" TargetMode="External"/><Relationship Id="rId54" Type="http://schemas.openxmlformats.org/officeDocument/2006/relationships/hyperlink" Target="http://refhub.elsevier.com/S1443-9506(25)01654-3/sref18" TargetMode="External"/><Relationship Id="rId55" Type="http://schemas.openxmlformats.org/officeDocument/2006/relationships/hyperlink" Target="http://refhub.elsevier.com/S1443-9506(25)01654-3/sref19" TargetMode="External"/><Relationship Id="rId56" Type="http://schemas.openxmlformats.org/officeDocument/2006/relationships/hyperlink" Target="http://refhub.elsevier.com/S1443-9506(25)01654-3/sref20" TargetMode="External"/><Relationship Id="rId57" Type="http://schemas.openxmlformats.org/officeDocument/2006/relationships/hyperlink" Target="http://refhub.elsevier.com/S1443-9506(25)01654-3/sref21" TargetMode="External"/><Relationship Id="rId58" Type="http://schemas.openxmlformats.org/officeDocument/2006/relationships/hyperlink" Target="http://refhub.elsevier.com/S1443-9506(25)01654-3/sref22" TargetMode="External"/><Relationship Id="rId59" Type="http://schemas.openxmlformats.org/officeDocument/2006/relationships/hyperlink" Target="http://refhub.elsevier.com/S1443-9506(25)01654-3/sref23" TargetMode="External"/><Relationship Id="rId60" Type="http://schemas.openxmlformats.org/officeDocument/2006/relationships/hyperlink" Target="http://refhub.elsevier.com/S1443-9506(25)01654-3/sref24" TargetMode="External"/><Relationship Id="rId61" Type="http://schemas.openxmlformats.org/officeDocument/2006/relationships/hyperlink" Target="http://refhub.elsevier.com/S1443-9506(25)01654-3/sref25" TargetMode="External"/><Relationship Id="rId62" Type="http://schemas.openxmlformats.org/officeDocument/2006/relationships/hyperlink" Target="http://refhub.elsevier.com/S1443-9506(25)01654-3/sref26" TargetMode="External"/><Relationship Id="rId63" Type="http://schemas.openxmlformats.org/officeDocument/2006/relationships/hyperlink" Target="http://refhub.elsevier.com/S1443-9506(25)01654-3/sref27" TargetMode="External"/><Relationship Id="rId64" Type="http://schemas.openxmlformats.org/officeDocument/2006/relationships/hyperlink" Target="http://refhub.elsevier.com/S1443-9506(25)01654-3/sref28" TargetMode="External"/><Relationship Id="rId65" Type="http://schemas.openxmlformats.org/officeDocument/2006/relationships/hyperlink" Target="http://refhub.elsevier.com/S1443-9506(25)01654-3/sref29" TargetMode="External"/><Relationship Id="rId66" Type="http://schemas.openxmlformats.org/officeDocument/2006/relationships/hyperlink" Target="http://refhub.elsevier.com/S1443-9506(25)01654-3/sref30" TargetMode="External"/><Relationship Id="rId67" Type="http://schemas.openxmlformats.org/officeDocument/2006/relationships/hyperlink" Target="http://refhub.elsevier.com/S1443-9506(25)01654-3/sref31" TargetMode="External"/><Relationship Id="rId68" Type="http://schemas.openxmlformats.org/officeDocument/2006/relationships/hyperlink" Target="http://refhub.elsevier.com/S1443-9506(25)01654-3/sref32" TargetMode="External"/><Relationship Id="rId69" Type="http://schemas.openxmlformats.org/officeDocument/2006/relationships/hyperlink" Target="http://refhub.elsevier.com/S1443-9506(25)01654-3/sref33" TargetMode="External"/><Relationship Id="rId70" Type="http://schemas.openxmlformats.org/officeDocument/2006/relationships/hyperlink" Target="http://refhub.elsevier.com/S1443-9506(25)01654-3/sref34" TargetMode="External"/><Relationship Id="rId71" Type="http://schemas.openxmlformats.org/officeDocument/2006/relationships/hyperlink" Target="http://refhub.elsevier.com/S1443-9506(25)01654-3/sref35" TargetMode="External"/><Relationship Id="rId72" Type="http://schemas.openxmlformats.org/officeDocument/2006/relationships/hyperlink" Target="http://refhub.elsevier.com/S1443-9506(25)01654-3/sref36" TargetMode="External"/><Relationship Id="rId73" Type="http://schemas.openxmlformats.org/officeDocument/2006/relationships/hyperlink" Target="http://refhub.elsevier.com/S1443-9506(25)01654-3/sref37" TargetMode="External"/><Relationship Id="rId74" Type="http://schemas.openxmlformats.org/officeDocument/2006/relationships/image" Target="media/image27.png"/><Relationship Id="rId75" Type="http://schemas.openxmlformats.org/officeDocument/2006/relationships/hyperlink" Target="http://refhub.elsevier.com/S1443-9506(25)01654-3/sref38" TargetMode="External"/><Relationship Id="rId76" Type="http://schemas.openxmlformats.org/officeDocument/2006/relationships/hyperlink" Target="http://refhub.elsevier.com/S1443-9506(25)01654-3/sref39" TargetMode="External"/><Relationship Id="rId77" Type="http://schemas.openxmlformats.org/officeDocument/2006/relationships/hyperlink" Target="http://refhub.elsevier.com/S1443-9506(25)01654-3/sref40" TargetMode="External"/><Relationship Id="rId78" Type="http://schemas.openxmlformats.org/officeDocument/2006/relationships/hyperlink" Target="http://refhub.elsevier.com/S1443-9506(25)01654-3/sref41" TargetMode="External"/><Relationship Id="rId79" Type="http://schemas.openxmlformats.org/officeDocument/2006/relationships/hyperlink" Target="http://refhub.elsevier.com/S1443-9506(25)01654-3/sref42" TargetMode="External"/><Relationship Id="rId80" Type="http://schemas.openxmlformats.org/officeDocument/2006/relationships/hyperlink" Target="http://refhub.elsevier.com/S1443-9506(25)01654-3/sref43" TargetMode="External"/><Relationship Id="rId81" Type="http://schemas.openxmlformats.org/officeDocument/2006/relationships/hyperlink" Target="http://refhub.elsevier.com/S1443-9506(25)01654-3/sref44" TargetMode="External"/><Relationship Id="rId82" Type="http://schemas.openxmlformats.org/officeDocument/2006/relationships/hyperlink" Target="http://refhub.elsevier.com/S1443-9506(25)01654-3/sref45" TargetMode="External"/><Relationship Id="rId83" Type="http://schemas.openxmlformats.org/officeDocument/2006/relationships/hyperlink" Target="http://refhub.elsevier.com/S1443-9506(25)01654-3/sref46" TargetMode="External"/><Relationship Id="rId84" Type="http://schemas.openxmlformats.org/officeDocument/2006/relationships/hyperlink" Target="http://refhub.elsevier.com/S1443-9506(25)01654-3/sref47" TargetMode="External"/><Relationship Id="rId85" Type="http://schemas.openxmlformats.org/officeDocument/2006/relationships/hyperlink" Target="http://refhub.elsevier.com/S1443-9506(25)01654-3/sref48" TargetMode="External"/><Relationship Id="rId86" Type="http://schemas.openxmlformats.org/officeDocument/2006/relationships/hyperlink" Target="http://refhub.elsevier.com/S1443-9506(25)01654-3/sref49" TargetMode="External"/><Relationship Id="rId87" Type="http://schemas.openxmlformats.org/officeDocument/2006/relationships/hyperlink" Target="http://refhub.elsevier.com/S1443-9506(25)01654-3/sref50" TargetMode="External"/><Relationship Id="rId88" Type="http://schemas.openxmlformats.org/officeDocument/2006/relationships/hyperlink" Target="http://refhub.elsevier.com/S1443-9506(25)01654-3/sref51" TargetMode="External"/><Relationship Id="rId89" Type="http://schemas.openxmlformats.org/officeDocument/2006/relationships/hyperlink" Target="http://refhub.elsevier.com/S1443-9506(25)01654-3/sref52" TargetMode="External"/><Relationship Id="rId90" Type="http://schemas.openxmlformats.org/officeDocument/2006/relationships/hyperlink" Target="http://refhub.elsevier.com/S1443-9506(25)01654-3/sref53" TargetMode="External"/><Relationship Id="rId91" Type="http://schemas.openxmlformats.org/officeDocument/2006/relationships/hyperlink" Target="http://refhub.elsevier.com/S1443-9506(25)01654-3/sref54" TargetMode="External"/><Relationship Id="rId92" Type="http://schemas.openxmlformats.org/officeDocument/2006/relationships/hyperlink" Target="http://refhub.elsevier.com/S1443-9506(25)01654-3/sref55" TargetMode="External"/><Relationship Id="rId93" Type="http://schemas.openxmlformats.org/officeDocument/2006/relationships/hyperlink" Target="http://refhub.elsevier.com/S1443-9506(25)01654-3/sref56" TargetMode="External"/><Relationship Id="rId94" Type="http://schemas.openxmlformats.org/officeDocument/2006/relationships/hyperlink" Target="http://refhub.elsevier.com/S1443-9506(25)01654-3/sref57" TargetMode="External"/><Relationship Id="rId95" Type="http://schemas.openxmlformats.org/officeDocument/2006/relationships/hyperlink" Target="http://refhub.elsevier.com/S1443-9506(25)01654-3/sref58" TargetMode="External"/><Relationship Id="rId96" Type="http://schemas.openxmlformats.org/officeDocument/2006/relationships/hyperlink" Target="http://refhub.elsevier.com/S1443-9506(25)01654-3/sref59" TargetMode="External"/><Relationship Id="rId97" Type="http://schemas.openxmlformats.org/officeDocument/2006/relationships/hyperlink" Target="http://refhub.elsevier.com/S1443-9506(25)01654-3/sref60" TargetMode="External"/><Relationship Id="rId98" Type="http://schemas.openxmlformats.org/officeDocument/2006/relationships/hyperlink" Target="http://refhub.elsevier.com/S1443-9506(25)01654-3/sref61" TargetMode="External"/><Relationship Id="rId99" Type="http://schemas.openxmlformats.org/officeDocument/2006/relationships/hyperlink" Target="http://refhub.elsevier.com/S1443-9506(25)01654-3/sref62" TargetMode="External"/><Relationship Id="rId100" Type="http://schemas.openxmlformats.org/officeDocument/2006/relationships/hyperlink" Target="http://refhub.elsevier.com/S1443-9506(25)01654-3/sref63" TargetMode="External"/><Relationship Id="rId101" Type="http://schemas.openxmlformats.org/officeDocument/2006/relationships/hyperlink" Target="http://refhub.elsevier.com/S1443-9506(25)01654-3/sref64" TargetMode="External"/><Relationship Id="rId102" Type="http://schemas.openxmlformats.org/officeDocument/2006/relationships/hyperlink" Target="http://refhub.elsevier.com/S1443-9506(25)01654-3/sref65" TargetMode="External"/><Relationship Id="rId103" Type="http://schemas.openxmlformats.org/officeDocument/2006/relationships/hyperlink" Target="http://refhub.elsevier.com/S1443-9506(25)01654-3/sref66" TargetMode="External"/><Relationship Id="rId104" Type="http://schemas.openxmlformats.org/officeDocument/2006/relationships/hyperlink" Target="http://refhub.elsevier.com/S1443-9506(25)01654-3/sref67" TargetMode="External"/><Relationship Id="rId105" Type="http://schemas.openxmlformats.org/officeDocument/2006/relationships/hyperlink" Target="https://pdfs.semanticscholar.org/a528/bb0a564674288da87fd4a95733248f917277.pdf" TargetMode="External"/><Relationship Id="rId106" Type="http://schemas.openxmlformats.org/officeDocument/2006/relationships/hyperlink" Target="http://refhub.elsevier.com/S1443-9506(25)01654-3/sref69" TargetMode="External"/><Relationship Id="rId107" Type="http://schemas.openxmlformats.org/officeDocument/2006/relationships/hyperlink" Target="http://refhub.elsevier.com/S1443-9506(25)01654-3/sref70" TargetMode="External"/><Relationship Id="rId108" Type="http://schemas.openxmlformats.org/officeDocument/2006/relationships/hyperlink" Target="http://refhub.elsevier.com/S1443-9506(25)01654-3/sref71" TargetMode="External"/><Relationship Id="rId109" Type="http://schemas.openxmlformats.org/officeDocument/2006/relationships/hyperlink" Target="http://refhub.elsevier.com/S1443-9506(25)01654-3/sref72" TargetMode="External"/><Relationship Id="rId110" Type="http://schemas.openxmlformats.org/officeDocument/2006/relationships/hyperlink" Target="http://refhub.elsevier.com/S1443-9506(25)01654-3/sref73" TargetMode="External"/><Relationship Id="rId111" Type="http://schemas.openxmlformats.org/officeDocument/2006/relationships/hyperlink" Target="http://refhub.elsevier.com/S1443-9506(25)01654-3/sref74" TargetMode="External"/><Relationship Id="rId112" Type="http://schemas.openxmlformats.org/officeDocument/2006/relationships/hyperlink" Target="http://refhub.elsevier.com/S1443-9506(25)01654-3/sref75" TargetMode="External"/><Relationship Id="rId113" Type="http://schemas.openxmlformats.org/officeDocument/2006/relationships/hyperlink" Target="http://refhub.elsevier.com/S1443-9506(25)01654-3/sref76" TargetMode="External"/><Relationship Id="rId114" Type="http://schemas.openxmlformats.org/officeDocument/2006/relationships/hyperlink" Target="http://refhub.elsevier.com/S1443-9506(25)01654-3/sref77" TargetMode="External"/><Relationship Id="rId115" Type="http://schemas.openxmlformats.org/officeDocument/2006/relationships/hyperlink" Target="http://refhub.elsevier.com/S1443-9506(25)01654-3/sref78" TargetMode="External"/><Relationship Id="rId116" Type="http://schemas.openxmlformats.org/officeDocument/2006/relationships/hyperlink" Target="http://refhub.elsevier.com/S1443-9506(25)01654-3/sref79" TargetMode="External"/><Relationship Id="rId117" Type="http://schemas.openxmlformats.org/officeDocument/2006/relationships/hyperlink" Target="http://refhub.elsevier.com/S1443-9506(25)01654-3/sref80" TargetMode="External"/><Relationship Id="rId118" Type="http://schemas.openxmlformats.org/officeDocument/2006/relationships/hyperlink" Target="http://refhub.elsevier.com/S1443-9506(25)01654-3/sref81" TargetMode="External"/><Relationship Id="rId119" Type="http://schemas.openxmlformats.org/officeDocument/2006/relationships/image" Target="media/image28.png"/><Relationship Id="rId120" Type="http://schemas.openxmlformats.org/officeDocument/2006/relationships/hyperlink" Target="http://refhub.elsevier.com/S1443-9506(25)01654-3/sref82" TargetMode="External"/><Relationship Id="rId121" Type="http://schemas.openxmlformats.org/officeDocument/2006/relationships/hyperlink" Target="http://refhub.elsevier.com/S1443-9506(25)01654-3/sref83" TargetMode="External"/><Relationship Id="rId122" Type="http://schemas.openxmlformats.org/officeDocument/2006/relationships/hyperlink" Target="http://refhub.elsevier.com/S1443-9506(25)01654-3/sref84" TargetMode="External"/><Relationship Id="rId123" Type="http://schemas.openxmlformats.org/officeDocument/2006/relationships/hyperlink" Target="http://refhub.elsevier.com/S1443-9506(25)01654-3/sref85" TargetMode="External"/><Relationship Id="rId124" Type="http://schemas.openxmlformats.org/officeDocument/2006/relationships/hyperlink" Target="http://refhub.elsevier.com/S1443-9506(25)01654-3/sref86" TargetMode="External"/><Relationship Id="rId125" Type="http://schemas.openxmlformats.org/officeDocument/2006/relationships/hyperlink" Target="http://refhub.elsevier.com/S1443-9506(25)01654-3/sref87" TargetMode="External"/><Relationship Id="rId126" Type="http://schemas.openxmlformats.org/officeDocument/2006/relationships/hyperlink" Target="http://refhub.elsevier.com/S1443-9506(25)01654-3/sref88" TargetMode="External"/><Relationship Id="rId127" Type="http://schemas.openxmlformats.org/officeDocument/2006/relationships/hyperlink" Target="http://refhub.elsevier.com/S1443-9506(25)01654-3/sref89" TargetMode="External"/><Relationship Id="rId128" Type="http://schemas.openxmlformats.org/officeDocument/2006/relationships/hyperlink" Target="http://refhub.elsevier.com/S1443-9506(25)01654-3/sref90" TargetMode="External"/><Relationship Id="rId129" Type="http://schemas.openxmlformats.org/officeDocument/2006/relationships/hyperlink" Target="http://refhub.elsevier.com/S1443-9506(25)01654-3/sref91" TargetMode="External"/><Relationship Id="rId130" Type="http://schemas.openxmlformats.org/officeDocument/2006/relationships/hyperlink" Target="http://refhub.elsevier.com/S1443-9506(25)01654-3/sref92" TargetMode="External"/><Relationship Id="rId131" Type="http://schemas.openxmlformats.org/officeDocument/2006/relationships/hyperlink" Target="http://refhub.elsevier.com/S1443-9506(25)01654-3/sref93" TargetMode="External"/><Relationship Id="rId132" Type="http://schemas.openxmlformats.org/officeDocument/2006/relationships/hyperlink" Target="http://refhub.elsevier.com/S1443-9506(25)01654-3/sref94" TargetMode="External"/><Relationship Id="rId133" Type="http://schemas.openxmlformats.org/officeDocument/2006/relationships/hyperlink" Target="http://refhub.elsevier.com/S1443-9506(25)01654-3/sref95" TargetMode="External"/><Relationship Id="rId134" Type="http://schemas.openxmlformats.org/officeDocument/2006/relationships/hyperlink" Target="http://refhub.elsevier.com/S1443-9506(25)01654-3/sref96" TargetMode="External"/><Relationship Id="rId135" Type="http://schemas.openxmlformats.org/officeDocument/2006/relationships/hyperlink" Target="http://refhub.elsevier.com/S1443-9506(25)01654-3/sref97" TargetMode="External"/><Relationship Id="rId136" Type="http://schemas.openxmlformats.org/officeDocument/2006/relationships/hyperlink" Target="http://refhub.elsevier.com/S1443-9506(25)01654-3/sref98" TargetMode="External"/><Relationship Id="rId137" Type="http://schemas.openxmlformats.org/officeDocument/2006/relationships/hyperlink" Target="http://refhub.elsevier.com/S1443-9506(25)01654-3/sref99" TargetMode="External"/><Relationship Id="rId138" Type="http://schemas.openxmlformats.org/officeDocument/2006/relationships/hyperlink" Target="http://refhub.elsevier.com/S1443-9506(25)01654-3/sref100" TargetMode="External"/><Relationship Id="rId139" Type="http://schemas.openxmlformats.org/officeDocument/2006/relationships/hyperlink" Target="http://refhub.elsevier.com/S1443-9506(25)01654-3/sref101" TargetMode="External"/><Relationship Id="rId140" Type="http://schemas.openxmlformats.org/officeDocument/2006/relationships/hyperlink" Target="http://refhub.elsevier.com/S1443-9506(25)01654-3/sref102" TargetMode="External"/><Relationship Id="rId141" Type="http://schemas.openxmlformats.org/officeDocument/2006/relationships/hyperlink" Target="http://refhub.elsevier.com/S1443-9506(25)01654-3/sref103" TargetMode="External"/><Relationship Id="rId142" Type="http://schemas.openxmlformats.org/officeDocument/2006/relationships/hyperlink" Target="http://refhub.elsevier.com/S1443-9506(25)01654-3/sref104" TargetMode="External"/><Relationship Id="rId143" Type="http://schemas.openxmlformats.org/officeDocument/2006/relationships/hyperlink" Target="http://refhub.elsevier.com/S1443-9506(25)01654-3/sref105" TargetMode="External"/><Relationship Id="rId144" Type="http://schemas.openxmlformats.org/officeDocument/2006/relationships/hyperlink" Target="http://refhub.elsevier.com/S1443-9506(25)01654-3/sref106" TargetMode="External"/><Relationship Id="rId145" Type="http://schemas.openxmlformats.org/officeDocument/2006/relationships/hyperlink" Target="http://refhub.elsevier.com/S1443-9506(25)01654-3/sref107" TargetMode="External"/><Relationship Id="rId146" Type="http://schemas.openxmlformats.org/officeDocument/2006/relationships/hyperlink" Target="http://refhub.elsevier.com/S1443-9506(25)01654-3/sref108" TargetMode="External"/><Relationship Id="rId147" Type="http://schemas.openxmlformats.org/officeDocument/2006/relationships/hyperlink" Target="http://refhub.elsevier.com/S1443-9506(25)01654-3/sref109" TargetMode="External"/><Relationship Id="rId148" Type="http://schemas.openxmlformats.org/officeDocument/2006/relationships/hyperlink" Target="http://refhub.elsevier.com/S1443-9506(25)01654-3/sref110" TargetMode="External"/><Relationship Id="rId149" Type="http://schemas.openxmlformats.org/officeDocument/2006/relationships/hyperlink" Target="http://refhub.elsevier.com/S1443-9506(25)01654-3/sref111" TargetMode="External"/><Relationship Id="rId150" Type="http://schemas.openxmlformats.org/officeDocument/2006/relationships/hyperlink" Target="http://refhub.elsevier.com/S1443-9506(25)01654-3/sref112" TargetMode="External"/><Relationship Id="rId151" Type="http://schemas.openxmlformats.org/officeDocument/2006/relationships/hyperlink" Target="http://refhub.elsevier.com/S1443-9506(25)01654-3/sref113" TargetMode="External"/><Relationship Id="rId152" Type="http://schemas.openxmlformats.org/officeDocument/2006/relationships/hyperlink" Target="http://refhub.elsevier.com/S1443-9506(25)01654-3/sref114" TargetMode="External"/><Relationship Id="rId153" Type="http://schemas.openxmlformats.org/officeDocument/2006/relationships/hyperlink" Target="http://refhub.elsevier.com/S1443-9506(25)01654-3/sref115" TargetMode="External"/><Relationship Id="rId154" Type="http://schemas.openxmlformats.org/officeDocument/2006/relationships/hyperlink" Target="http://refhub.elsevier.com/S1443-9506(25)01654-3/sref116" TargetMode="External"/><Relationship Id="rId155" Type="http://schemas.openxmlformats.org/officeDocument/2006/relationships/hyperlink" Target="http://refhub.elsevier.com/S1443-9506(25)01654-3/sref117" TargetMode="External"/><Relationship Id="rId156" Type="http://schemas.openxmlformats.org/officeDocument/2006/relationships/hyperlink" Target="http://refhub.elsevier.com/S1443-9506(25)01654-3/sref118" TargetMode="External"/><Relationship Id="rId157" Type="http://schemas.openxmlformats.org/officeDocument/2006/relationships/hyperlink" Target="http://refhub.elsevier.com/S1443-9506(25)01654-3/sref119" TargetMode="External"/><Relationship Id="rId158" Type="http://schemas.openxmlformats.org/officeDocument/2006/relationships/hyperlink" Target="http://refhub.elsevier.com/S1443-9506(25)01654-3/sref120" TargetMode="External"/><Relationship Id="rId159" Type="http://schemas.openxmlformats.org/officeDocument/2006/relationships/hyperlink" Target="https://consult.treasury.gov.au/pre-budget-submissions/2025-26/view/425" TargetMode="External"/><Relationship Id="rId160" Type="http://schemas.openxmlformats.org/officeDocument/2006/relationships/hyperlink" Target="http://refhub.elsevier.com/S1443-9506(25)01654-3/sref122" TargetMode="External"/><Relationship Id="rId161" Type="http://schemas.openxmlformats.org/officeDocument/2006/relationships/hyperlink" Target="http://refhub.elsevier.com/S1443-9506(25)01654-3/sref123" TargetMode="External"/><Relationship Id="rId162" Type="http://schemas.openxmlformats.org/officeDocument/2006/relationships/hyperlink" Target="http://refhub.elsevier.com/S1443-9506(25)01654-3/sref124" TargetMode="External"/><Relationship Id="rId163" Type="http://schemas.openxmlformats.org/officeDocument/2006/relationships/hyperlink" Target="https://potsfoundation.org.au/wp-content/uploads/2025/07/Australian-POTS-Foundation-_-Lived-Experience-Engagement-Framework.pdf" TargetMode="External"/><Relationship Id="rId16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Dennis H. Lau MBBS PhD; Artur Fedorowski MD PhD; Satish R. Raj MD MSCI; Caelum Schild BAppSc; Laura A. Pace MD PhD; Svetlana Blitshteyn MD; Vidya Raj MB ChB; Jeffrey R. Boris MD; Lesley Kavi MBChB; Marie-Claire Seeley RN PhD; Celine Gallagher RN PhD</dc:creator>
  <dc:subject>Heart, Lung and Circulation, 35 (2026) 171-185. doi:10.1016/j.hlc.2025.09.004</dc:subject>
  <dc:title>Postural Orthostatic Tachycardia Syndrome: A State-of-the-Art Review</dc:title>
  <dcterms:created xsi:type="dcterms:W3CDTF">2026-02-25T11:34:53Z</dcterms:created>
  <dcterms:modified xsi:type="dcterms:W3CDTF">2026-02-25T11:34:53Z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2026-02-05T00:00:00Z</vt:filetime>
  </property>
  <property fmtid="{D5CDD505-2E9C-101B-9397-08002B2CF9AE}" pid="3" name="Creator">
    <vt:lpwstr>Elsevier</vt:lpwstr>
  </property>
  <property fmtid="{D5CDD505-2E9C-101B-9397-08002B2CF9AE}" pid="4" name="LastSaved">
    <vt:filetime>2026-02-25T00:00:00Z</vt:filetime>
  </property>
</Properties>
</file>